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58944" w14:textId="3943B421" w:rsidR="00C27EF7" w:rsidRPr="00266D72" w:rsidRDefault="004A597D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</w:t>
      </w:r>
      <w:r w:rsidR="00C27EF7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Badesul </w:t>
      </w:r>
      <w:r w:rsidR="005366BB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está em etapa de Estudos Preliminares para abrir processo de licitação na intenção de adquirir </w:t>
      </w:r>
      <w:r w:rsidR="000855DE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S</w:t>
      </w: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oftware CMDB</w:t>
      </w:r>
      <w:r w:rsidR="000855DE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.</w:t>
      </w:r>
    </w:p>
    <w:p w14:paraId="099A77D0" w14:textId="126D8B8C" w:rsidR="00D56DB7" w:rsidRPr="00266D72" w:rsidRDefault="00092BCA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Dessa forma, s</w:t>
      </w:r>
      <w:r w:rsidR="00D21337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olicitamos, gentilmente, que sejam respondi</w:t>
      </w:r>
      <w:r w:rsidR="00D40199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d</w:t>
      </w:r>
      <w:r w:rsidR="00D21337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as as questões a seguir</w:t>
      </w:r>
      <w:r w:rsidR="00470AA4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à medida do possível</w:t>
      </w:r>
      <w:r w:rsidR="00D21337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. As respostas serão a base para elaborarmos o Termo de Referência para o Edital.</w:t>
      </w:r>
      <w:r w:rsidR="00B14424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Estejam </w:t>
      </w:r>
      <w:r w:rsidR="0092089B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à</w:t>
      </w:r>
      <w:r w:rsidR="00B14424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vontade para criticar e sugerir</w:t>
      </w:r>
      <w:r w:rsidR="00AB75DB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dentro do escopo desta aquisição.</w:t>
      </w:r>
    </w:p>
    <w:p w14:paraId="6B655225" w14:textId="212D1FF4" w:rsidR="0092089B" w:rsidRPr="00266D72" w:rsidRDefault="0092089B" w:rsidP="00973119">
      <w:pPr>
        <w:spacing w:after="0" w:line="360" w:lineRule="auto"/>
        <w:ind w:left="284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*As respostas podem ser escritas no próprio documento</w:t>
      </w:r>
      <w:r w:rsidR="00973119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(em word)</w:t>
      </w:r>
    </w:p>
    <w:p w14:paraId="79BD242A" w14:textId="10E04BF3" w:rsidR="0092089B" w:rsidRPr="00266D72" w:rsidRDefault="0092089B" w:rsidP="00973119">
      <w:pPr>
        <w:spacing w:after="0" w:line="360" w:lineRule="auto"/>
        <w:ind w:left="284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*</w:t>
      </w:r>
      <w:r w:rsidR="00973119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Enviar para</w:t>
      </w:r>
      <w:r w:rsidR="004A597D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</w:t>
      </w:r>
      <w:hyperlink r:id="rId10" w:history="1"/>
      <w:r w:rsidR="00EB4C35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</w:t>
      </w:r>
      <w:hyperlink r:id="rId11" w:history="1">
        <w:r w:rsidR="00EB4C35" w:rsidRPr="00266D72">
          <w:rPr>
            <w:rStyle w:val="Hyperlink"/>
            <w:rFonts w:ascii="Bookman Old Style" w:eastAsia="Calibri" w:hAnsi="Bookman Old Style" w:cs="Calibri"/>
            <w:sz w:val="24"/>
            <w:szCs w:val="24"/>
            <w:lang w:eastAsia="pt-BR"/>
          </w:rPr>
          <w:t>badesul.informatica@badesul.com.br</w:t>
        </w:r>
      </w:hyperlink>
      <w:r w:rsidR="00EB4C35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</w:t>
      </w:r>
      <w:r w:rsidR="00973119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</w:t>
      </w:r>
    </w:p>
    <w:p w14:paraId="1B7F0A02" w14:textId="77777777" w:rsidR="00FB0A21" w:rsidRPr="00266D72" w:rsidRDefault="00FB0A21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</w:p>
    <w:p w14:paraId="3EC0E566" w14:textId="6D42DDBF" w:rsidR="00FB0A21" w:rsidRPr="00266D72" w:rsidRDefault="00FB0A21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Para que os interessados possam conhecer um pouco melhor o Badesul, </w:t>
      </w:r>
      <w:r w:rsidR="00811833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listaremos a seguir alguns links:</w:t>
      </w:r>
    </w:p>
    <w:p w14:paraId="2D5FDED1" w14:textId="6B2682A9" w:rsidR="00811833" w:rsidRPr="00266D72" w:rsidRDefault="00811833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Site Badesul: </w:t>
      </w:r>
      <w:hyperlink r:id="rId12" w:history="1">
        <w:r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6F544BE7" w14:textId="72824AFA" w:rsidR="00811833" w:rsidRPr="00266D72" w:rsidRDefault="00811833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Organograma: </w:t>
      </w:r>
      <w:hyperlink r:id="rId13" w:history="1">
        <w:r w:rsidR="00F31AEF"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11956053" w14:textId="3D843A61" w:rsidR="00F31AEF" w:rsidRPr="00266D72" w:rsidRDefault="0083160A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Carta Anual de Governança Corporativa: </w:t>
      </w:r>
      <w:hyperlink r:id="rId14" w:anchor="11" w:history="1">
        <w:r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2BBEEEBE" w14:textId="0A359AEC" w:rsidR="0083160A" w:rsidRPr="00266D72" w:rsidRDefault="005C6A29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Programa Badesul de Integridade: </w:t>
      </w:r>
      <w:hyperlink r:id="rId15" w:anchor="44" w:history="1">
        <w:r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0E9810AC" w14:textId="5707B3C8" w:rsidR="005C6A29" w:rsidRPr="00266D72" w:rsidRDefault="001E7E6A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Política de Segurança da Informação e Segurança Cibernética: </w:t>
      </w:r>
      <w:hyperlink r:id="rId16" w:anchor="45" w:history="1">
        <w:r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7ECB0DD8" w14:textId="78790728" w:rsidR="001E7E6A" w:rsidRPr="00266D72" w:rsidRDefault="001E7E6A" w:rsidP="00092B74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Política de Proteção de Dados</w:t>
      </w:r>
      <w:r w:rsidR="00852912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Pessoais e Privacidade</w:t>
      </w: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: </w:t>
      </w:r>
      <w:hyperlink r:id="rId17" w:anchor="48" w:history="1">
        <w:r w:rsidR="00852912" w:rsidRPr="00266D72">
          <w:rPr>
            <w:rFonts w:ascii="Bookman Old Style" w:eastAsia="Calibri" w:hAnsi="Bookman Old Style" w:cs="Calibri"/>
            <w:color w:val="000000"/>
            <w:sz w:val="24"/>
            <w:szCs w:val="24"/>
            <w:lang w:eastAsia="pt-BR"/>
          </w:rPr>
          <w:t>Badesul</w:t>
        </w:r>
      </w:hyperlink>
    </w:p>
    <w:p w14:paraId="77336604" w14:textId="2E7CC730" w:rsidR="00546BA8" w:rsidRPr="00266D72" w:rsidRDefault="00037642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Informações relevantes:</w:t>
      </w:r>
    </w:p>
    <w:p w14:paraId="02B3D5AB" w14:textId="5B7711B1" w:rsidR="00037642" w:rsidRPr="00266D72" w:rsidRDefault="00037642" w:rsidP="00092B74">
      <w:pPr>
        <w:pStyle w:val="PargrafodaLista"/>
        <w:numPr>
          <w:ilvl w:val="0"/>
          <w:numId w:val="5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Estamos alocados em apenas uma sede</w:t>
      </w:r>
      <w:r w:rsidR="007C0FCE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física</w:t>
      </w:r>
      <w:r w:rsidR="00272E08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, em Porto Alegre/RS</w:t>
      </w:r>
    </w:p>
    <w:p w14:paraId="00D922CB" w14:textId="20445A4A" w:rsidR="00272E08" w:rsidRPr="00266D72" w:rsidRDefault="001D7DD1" w:rsidP="00092B74">
      <w:pPr>
        <w:pStyle w:val="PargrafodaLista"/>
        <w:numPr>
          <w:ilvl w:val="0"/>
          <w:numId w:val="5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Ambiente do Badesul no Anexo a esta consulta.</w:t>
      </w:r>
    </w:p>
    <w:p w14:paraId="34EB8230" w14:textId="77777777" w:rsidR="00FB0A21" w:rsidRPr="00266D72" w:rsidRDefault="00FB0A21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</w:p>
    <w:p w14:paraId="0D1E0815" w14:textId="7EDC0BF7" w:rsidR="00B14424" w:rsidRPr="00266D72" w:rsidRDefault="007A2F99" w:rsidP="00AB75DB">
      <w:p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Desde já agradecemos muito a disponibilidade e nos mantemos</w:t>
      </w:r>
      <w:r w:rsidR="003A6901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à disposição pelo e</w:t>
      </w: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-</w:t>
      </w:r>
      <w:r w:rsidR="003A6901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mail</w:t>
      </w:r>
      <w:r w:rsidR="00EB4C35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</w:t>
      </w:r>
      <w:hyperlink r:id="rId18" w:history="1">
        <w:r w:rsidR="00EB4C35" w:rsidRPr="00266D72">
          <w:rPr>
            <w:rStyle w:val="Hyperlink"/>
            <w:rFonts w:ascii="Bookman Old Style" w:eastAsia="Calibri" w:hAnsi="Bookman Old Style" w:cs="Calibri"/>
            <w:sz w:val="24"/>
            <w:szCs w:val="24"/>
            <w:lang w:eastAsia="pt-BR"/>
          </w:rPr>
          <w:t>badesul.informatica@badesul.com.br</w:t>
        </w:r>
      </w:hyperlink>
      <w:r w:rsidR="004749FD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. Lembrando que respostas </w:t>
      </w:r>
      <w:r w:rsidR="00092B74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às dúvidas enviadas podem ser reportadas para todos os fornecedores interessados.</w:t>
      </w:r>
    </w:p>
    <w:p w14:paraId="5B3AA62C" w14:textId="77777777" w:rsidR="00D56DB7" w:rsidRPr="00266D72" w:rsidRDefault="00D56DB7" w:rsidP="000C1F33">
      <w:pPr>
        <w:pStyle w:val="PargrafodaLista"/>
        <w:spacing w:after="0" w:line="360" w:lineRule="auto"/>
        <w:ind w:left="360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</w:p>
    <w:tbl>
      <w:tblPr>
        <w:tblStyle w:val="Tabelacomgrade"/>
        <w:tblW w:w="0" w:type="auto"/>
        <w:tblInd w:w="-5" w:type="dxa"/>
        <w:tblLook w:val="04A0" w:firstRow="1" w:lastRow="0" w:firstColumn="1" w:lastColumn="0" w:noHBand="0" w:noVBand="1"/>
      </w:tblPr>
      <w:tblGrid>
        <w:gridCol w:w="9066"/>
      </w:tblGrid>
      <w:tr w:rsidR="00973119" w:rsidRPr="00266D72" w14:paraId="15B9DBE1" w14:textId="77777777" w:rsidTr="00973119">
        <w:tc>
          <w:tcPr>
            <w:tcW w:w="9066" w:type="dxa"/>
          </w:tcPr>
          <w:p w14:paraId="405EF3C0" w14:textId="394CB342" w:rsidR="00973119" w:rsidRPr="00266D72" w:rsidRDefault="004A597D" w:rsidP="000C1F33">
            <w:pPr>
              <w:pStyle w:val="PargrafodaLista"/>
              <w:spacing w:line="360" w:lineRule="auto"/>
              <w:ind w:left="0"/>
              <w:jc w:val="both"/>
              <w:rPr>
                <w:rFonts w:ascii="Bookman Old Style" w:eastAsia="Calibri" w:hAnsi="Bookman Old Style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66D72">
              <w:rPr>
                <w:rFonts w:ascii="Bookman Old Style" w:eastAsia="Calibri" w:hAnsi="Bookman Old Style" w:cs="Calibri"/>
                <w:b/>
                <w:bCs/>
                <w:color w:val="000000"/>
                <w:sz w:val="24"/>
                <w:szCs w:val="24"/>
                <w:lang w:eastAsia="pt-BR"/>
              </w:rPr>
              <w:t>QUESTIONAMENTOS</w:t>
            </w:r>
          </w:p>
        </w:tc>
      </w:tr>
    </w:tbl>
    <w:p w14:paraId="1B110DA0" w14:textId="77777777" w:rsidR="00D56DB7" w:rsidRPr="00266D72" w:rsidRDefault="00D56DB7" w:rsidP="000C1F33">
      <w:pPr>
        <w:pStyle w:val="PargrafodaLista"/>
        <w:spacing w:after="0" w:line="360" w:lineRule="auto"/>
        <w:ind w:left="360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</w:p>
    <w:p w14:paraId="1A2F9CFE" w14:textId="559739BC" w:rsidR="0020090B" w:rsidRPr="00266D72" w:rsidRDefault="0020090B" w:rsidP="00F8043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Há quantos anos vocês fornecem </w:t>
      </w:r>
      <w:r w:rsidR="004A597D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CMDB</w:t>
      </w: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?</w:t>
      </w:r>
    </w:p>
    <w:p w14:paraId="059E1ED4" w14:textId="49431875" w:rsidR="003138CF" w:rsidRPr="00266D72" w:rsidRDefault="003138CF" w:rsidP="00F8043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Cite os principais clientes e, principalmente, se atendem alguma empresa do setor público.</w:t>
      </w:r>
    </w:p>
    <w:p w14:paraId="2FA66962" w14:textId="4E85AAAA" w:rsidR="0020090B" w:rsidRPr="00266D72" w:rsidRDefault="003D3A49" w:rsidP="00F8043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lastRenderedPageBreak/>
        <w:t xml:space="preserve">Para atender </w:t>
      </w:r>
      <w:r w:rsidR="0020090B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os serviços de </w:t>
      </w:r>
      <w:r w:rsidR="004A597D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CMDB a</w:t>
      </w: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sua empresa realiza algum tipo de subcontratação?</w:t>
      </w:r>
      <w:r w:rsidR="0082417D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Se sim, quais?</w:t>
      </w:r>
    </w:p>
    <w:p w14:paraId="78F124BB" w14:textId="0F03B0B2" w:rsidR="004A597D" w:rsidRPr="00266D72" w:rsidRDefault="004A597D" w:rsidP="00F8043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Quais certificações sua empresa possui para este software e há quanto tempo ele existe?</w:t>
      </w:r>
    </w:p>
    <w:p w14:paraId="2407E028" w14:textId="77777777" w:rsidR="004A597D" w:rsidRPr="00266D72" w:rsidRDefault="004A597D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Quais os </w:t>
      </w:r>
      <w:proofErr w:type="spellStart"/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SLAs</w:t>
      </w:r>
      <w:proofErr w:type="spellEnd"/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 de mercado para este tipo de software?</w:t>
      </w:r>
    </w:p>
    <w:p w14:paraId="5D2F2590" w14:textId="77777777" w:rsidR="004A597D" w:rsidRPr="00266D72" w:rsidRDefault="004A597D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Os prazos incluídos no item 2.3 e seguintes são exequíveis?</w:t>
      </w:r>
    </w:p>
    <w:p w14:paraId="74C0E6A4" w14:textId="77777777" w:rsidR="004A597D" w:rsidRPr="00266D72" w:rsidRDefault="004A597D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 tempo de treinamento, item 2.3.3.2 é suficiente para a passagem de conhecimento à equipe técnica?</w:t>
      </w:r>
    </w:p>
    <w:p w14:paraId="275D1FE9" w14:textId="77777777" w:rsidR="004A597D" w:rsidRPr="00266D72" w:rsidRDefault="004A597D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Deixamos de incluir alguma informação importante?</w:t>
      </w:r>
    </w:p>
    <w:p w14:paraId="3A9DEAB6" w14:textId="0CCE90D3" w:rsidR="004A597D" w:rsidRPr="00266D72" w:rsidRDefault="004A597D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Existe alguma restrição nos itens acima que impeçam ou limitem a participação de fornecedores?</w:t>
      </w:r>
    </w:p>
    <w:p w14:paraId="6B969371" w14:textId="43DE4F21" w:rsidR="007159B4" w:rsidRPr="00266D72" w:rsidRDefault="007159B4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O software é da própria empresa ou a sua empresa é um representante autorizado?</w:t>
      </w:r>
    </w:p>
    <w:p w14:paraId="428E76BC" w14:textId="2A0BC83D" w:rsidR="007159B4" w:rsidRPr="00266D72" w:rsidRDefault="007159B4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Como é o processo de atualização do software? Quais e quando foram as últimas atualizações? E os últimos upgrades de versão? </w:t>
      </w:r>
    </w:p>
    <w:p w14:paraId="210D858F" w14:textId="24D9292F" w:rsidR="007159B4" w:rsidRPr="00266D72" w:rsidRDefault="007159B4" w:rsidP="004A597D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</w:pPr>
      <w:r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 xml:space="preserve">Identifique o fabricante/produtor, o software e a versão </w:t>
      </w:r>
      <w:r w:rsidR="00CC68DF" w:rsidRPr="00266D72">
        <w:rPr>
          <w:rFonts w:ascii="Bookman Old Style" w:eastAsia="Calibri" w:hAnsi="Bookman Old Style" w:cs="Calibri"/>
          <w:color w:val="000000"/>
          <w:sz w:val="24"/>
          <w:szCs w:val="24"/>
          <w:lang w:eastAsia="pt-BR"/>
        </w:rPr>
        <w:t>que atenderia os requisitos deste documento.</w:t>
      </w:r>
    </w:p>
    <w:p w14:paraId="0046C2B6" w14:textId="651D7E60" w:rsidR="004A597D" w:rsidRPr="00266D72" w:rsidRDefault="004A597D" w:rsidP="004A597D">
      <w:pPr>
        <w:spacing w:after="0" w:line="360" w:lineRule="auto"/>
        <w:jc w:val="both"/>
        <w:rPr>
          <w:rFonts w:ascii="Bookman Old Style" w:eastAsia="Arial" w:hAnsi="Bookman Old Style" w:cstheme="minorHAnsi"/>
          <w:color w:val="000000" w:themeColor="text1"/>
          <w:sz w:val="24"/>
          <w:szCs w:val="24"/>
        </w:rPr>
      </w:pPr>
    </w:p>
    <w:p w14:paraId="2B50F616" w14:textId="77777777" w:rsidR="004A597D" w:rsidRPr="00266D72" w:rsidRDefault="004A597D" w:rsidP="004A597D">
      <w:pPr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afterLines="24" w:after="57" w:line="300" w:lineRule="auto"/>
        <w:ind w:left="0" w:right="57" w:firstLine="0"/>
        <w:jc w:val="center"/>
        <w:rPr>
          <w:rFonts w:ascii="Bookman Old Style" w:hAnsi="Bookman Old Style"/>
          <w:b/>
          <w:bCs/>
          <w:caps/>
          <w:sz w:val="24"/>
          <w:szCs w:val="24"/>
        </w:rPr>
      </w:pPr>
      <w:r w:rsidRPr="00266D72">
        <w:rPr>
          <w:rFonts w:ascii="Bookman Old Style" w:hAnsi="Bookman Old Style"/>
          <w:b/>
          <w:bCs/>
          <w:caps/>
          <w:sz w:val="24"/>
          <w:szCs w:val="24"/>
        </w:rPr>
        <w:t>DESCRIÇÃO DA NEcessidade DA CONTRATAÇÃO</w:t>
      </w:r>
    </w:p>
    <w:p w14:paraId="5BFD67CF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134"/>
        </w:tabs>
        <w:spacing w:before="12" w:afterLines="24" w:after="57" w:line="300" w:lineRule="auto"/>
        <w:ind w:left="0" w:right="0" w:firstLine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A Infraestrutura de TI necessita de uma ferramenta que:</w:t>
      </w:r>
    </w:p>
    <w:p w14:paraId="2384446C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 w:hanging="567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Faça o gerenciamento e manutenção, de forma automatizada, de documentos do ambiente de TI;</w:t>
      </w:r>
    </w:p>
    <w:p w14:paraId="24419D02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 w:hanging="567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Faça o gerenciamento e manutenção, automatizada, de um CMDB (</w:t>
      </w:r>
      <w:proofErr w:type="spellStart"/>
      <w:r w:rsidRPr="00266D72">
        <w:rPr>
          <w:rFonts w:ascii="Bookman Old Style" w:hAnsi="Bookman Old Style"/>
          <w:szCs w:val="24"/>
        </w:rPr>
        <w:t>Configuration</w:t>
      </w:r>
      <w:proofErr w:type="spellEnd"/>
      <w:r w:rsidRPr="00266D72">
        <w:rPr>
          <w:rFonts w:ascii="Bookman Old Style" w:hAnsi="Bookman Old Style"/>
          <w:szCs w:val="24"/>
        </w:rPr>
        <w:t xml:space="preserve"> Management </w:t>
      </w:r>
      <w:proofErr w:type="spellStart"/>
      <w:r w:rsidRPr="00266D72">
        <w:rPr>
          <w:rFonts w:ascii="Bookman Old Style" w:hAnsi="Bookman Old Style"/>
          <w:szCs w:val="24"/>
        </w:rPr>
        <w:t>Database</w:t>
      </w:r>
      <w:proofErr w:type="spellEnd"/>
      <w:r w:rsidRPr="00266D72">
        <w:rPr>
          <w:rFonts w:ascii="Bookman Old Style" w:hAnsi="Bookman Old Style"/>
          <w:szCs w:val="24"/>
        </w:rPr>
        <w:t>), em linhas compatíveis com as definidas no ITIL;</w:t>
      </w:r>
    </w:p>
    <w:p w14:paraId="04310AEE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 w:hanging="567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Mapeie as dependências de Recursos de TI oferecidos aos usuários e capacidade de análises de Impactos e Dependências simuladas em tempo real, no caso de falhas de elementos do ambiente;</w:t>
      </w:r>
    </w:p>
    <w:p w14:paraId="687CFE96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 w:hanging="567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Monitore a Capacidade e Disponibilidade dos Itens de Configuração (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) da CMDB com criação de base histórica e geração de alarmes sobre os 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 do ambiente de TI;</w:t>
      </w:r>
    </w:p>
    <w:p w14:paraId="1E3FAE31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 w:hanging="567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lastRenderedPageBreak/>
        <w:t xml:space="preserve">Tenha auditoria de configurações dos 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 gerando base histórica das configurações do ambiente e alarmes no evento de mudanças em 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 críticos.</w:t>
      </w:r>
    </w:p>
    <w:p w14:paraId="0C0A3E48" w14:textId="77777777" w:rsidR="004A597D" w:rsidRPr="00266D72" w:rsidRDefault="004A597D" w:rsidP="004A597D">
      <w:pPr>
        <w:spacing w:before="12" w:afterLines="24" w:after="57" w:line="300" w:lineRule="auto"/>
        <w:ind w:right="57"/>
        <w:rPr>
          <w:rFonts w:ascii="Bookman Old Style" w:hAnsi="Bookman Old Style"/>
          <w:sz w:val="24"/>
          <w:szCs w:val="24"/>
        </w:rPr>
      </w:pPr>
    </w:p>
    <w:p w14:paraId="000417A4" w14:textId="77777777" w:rsidR="004A597D" w:rsidRPr="00266D72" w:rsidRDefault="004A597D" w:rsidP="004A597D">
      <w:pPr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afterLines="24" w:after="57" w:line="300" w:lineRule="auto"/>
        <w:ind w:left="0" w:right="57" w:firstLine="0"/>
        <w:jc w:val="center"/>
        <w:rPr>
          <w:rFonts w:ascii="Bookman Old Style" w:hAnsi="Bookman Old Style"/>
          <w:b/>
          <w:caps/>
          <w:sz w:val="24"/>
          <w:szCs w:val="24"/>
        </w:rPr>
      </w:pPr>
      <w:r w:rsidRPr="00266D72">
        <w:rPr>
          <w:rFonts w:ascii="Bookman Old Style" w:hAnsi="Bookman Old Style"/>
          <w:b/>
          <w:caps/>
          <w:sz w:val="24"/>
          <w:szCs w:val="24"/>
        </w:rPr>
        <w:t xml:space="preserve">Descrição dos requisitos necessários </w:t>
      </w:r>
    </w:p>
    <w:p w14:paraId="380BACFF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134"/>
        </w:tabs>
        <w:spacing w:before="12" w:afterLines="24" w:after="57" w:line="300" w:lineRule="auto"/>
        <w:ind w:left="426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 xml:space="preserve">Faz-se necessário que a empresa tenha capacidade técnica de atendimento, comprovada através de contratos ou </w:t>
      </w:r>
      <w:proofErr w:type="spellStart"/>
      <w:r w:rsidRPr="00266D72">
        <w:rPr>
          <w:rFonts w:ascii="Bookman Old Style" w:hAnsi="Bookman Old Style"/>
          <w:szCs w:val="24"/>
        </w:rPr>
        <w:t>NFs</w:t>
      </w:r>
      <w:proofErr w:type="spellEnd"/>
      <w:r w:rsidRPr="00266D72">
        <w:rPr>
          <w:rFonts w:ascii="Bookman Old Style" w:hAnsi="Bookman Old Style"/>
          <w:szCs w:val="24"/>
        </w:rPr>
        <w:t>.</w:t>
      </w:r>
    </w:p>
    <w:p w14:paraId="32F871E1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134"/>
        </w:tabs>
        <w:spacing w:before="12" w:afterLines="24" w:after="57" w:line="300" w:lineRule="auto"/>
        <w:ind w:left="426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Os requisitos de segurança da informação da Política de Segurança da Informação e Segurança Cibernética do Badesul, precisam obrigatoriamente, estar atendidos na contratação pretendida.</w:t>
      </w:r>
    </w:p>
    <w:p w14:paraId="003591C5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134"/>
        </w:tabs>
        <w:spacing w:before="12" w:afterLines="24" w:after="57" w:line="300" w:lineRule="auto"/>
        <w:ind w:left="426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O serviço prestado deve considerar:</w:t>
      </w:r>
    </w:p>
    <w:p w14:paraId="2225DB8E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A implantação do ferramental com todas as características definidas neste documento.</w:t>
      </w:r>
    </w:p>
    <w:p w14:paraId="216497C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A implantação do ferramental deve atender a todos os requisitos apresentados no Edital e todas as atividades necessárias fazem parte do custo definido pela CONTRATADA.</w:t>
      </w:r>
    </w:p>
    <w:p w14:paraId="2B1F7035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 xml:space="preserve">Em até 20 dias após a assinatura do contrato, a CONTRATADA deve apresentar um cronograma para implantação do ferramental em todo o ambiente do Badesul, devendo todos os dispositivos e seus 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 internos estarem na CMDB e sendo monitorados ao fim dessa atividade. Devem ser considerados ainda os seguintes requisitos:</w:t>
      </w:r>
    </w:p>
    <w:p w14:paraId="70205C98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Em até 25 dias após assinatura do contrato: acesso à ferramenta para equipe técnica do Badesul.</w:t>
      </w:r>
    </w:p>
    <w:p w14:paraId="248D2E07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 xml:space="preserve">Em até 60 dias após assinatura do contrato: implantação e configuração completa da CMDB e sistemas de Discovery de </w:t>
      </w:r>
      <w:proofErr w:type="spellStart"/>
      <w:r w:rsidRPr="00266D72">
        <w:rPr>
          <w:rFonts w:ascii="Bookman Old Style" w:hAnsi="Bookman Old Style"/>
          <w:szCs w:val="24"/>
        </w:rPr>
        <w:t>ICs</w:t>
      </w:r>
      <w:proofErr w:type="spellEnd"/>
      <w:r w:rsidRPr="00266D72">
        <w:rPr>
          <w:rFonts w:ascii="Bookman Old Style" w:hAnsi="Bookman Old Style"/>
          <w:szCs w:val="24"/>
        </w:rPr>
        <w:t xml:space="preserve"> e relações de dependência automáticas.</w:t>
      </w:r>
    </w:p>
    <w:p w14:paraId="572B914B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Em até 90 dias após assinatura do contrato: monitoramento de disponibilidade e capacidade e auditoria de configurações implantados.</w:t>
      </w:r>
    </w:p>
    <w:p w14:paraId="3D71C06A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 xml:space="preserve">A implantação poderá ser feita toda remotamente via VPN e ferramentas de acesso remoto como SSH e Remote Desktop. Qualquer necessidade de interação física no ambiente poderá ser apoiada por equipe técnica do Badesul. Caso seja necessária a presença física de colaboradores da CONTRATADA, isso deve ocorrer às expensas da CONTRATADA. </w:t>
      </w:r>
    </w:p>
    <w:p w14:paraId="4FEF7800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lastRenderedPageBreak/>
        <w:t>Disponibilização da ferramenta pelo fornecedor em formato SaaS com acesso ao ambiente utilizado pelo Badesul e em acordo com a Política de Segurança da Informação e Cibernética do Badesul.</w:t>
      </w:r>
    </w:p>
    <w:p w14:paraId="30DB7B82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Treinamentos para equipe técnica</w:t>
      </w:r>
    </w:p>
    <w:p w14:paraId="6F1DE61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Deverão ser fornecidas duas edições de um treinamento à equipe definida pelo Badesul, com a finalidade de preparar à equipe para realização das seguintes atividades técnicas:</w:t>
      </w:r>
    </w:p>
    <w:p w14:paraId="69110593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Implantação e migração dos dados da ferramenta.</w:t>
      </w:r>
    </w:p>
    <w:p w14:paraId="4D0FD71B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Manutenção dos Componentes de Software da Solução para mantê-la saudável e em funcionamento.</w:t>
      </w:r>
    </w:p>
    <w:p w14:paraId="73BC0690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Configuração e Operação da CMDB.</w:t>
      </w:r>
    </w:p>
    <w:p w14:paraId="0F54C7C3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Configuração e Operação do Mecanismo de descobertas de IC.</w:t>
      </w:r>
    </w:p>
    <w:p w14:paraId="42804AA6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Configuração e Operação do Monitoramento de Disponibilidade e Capacidade.</w:t>
      </w:r>
    </w:p>
    <w:p w14:paraId="4EBC8EBB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Configuração e Operação da Auditoria de Configurações.</w:t>
      </w:r>
    </w:p>
    <w:p w14:paraId="32BC8044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O curso deverá ter no mínimo 16 horas de duração.</w:t>
      </w:r>
    </w:p>
    <w:p w14:paraId="04916C80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O curso poderá ser fornecido online ou nas dependências do Badesul.</w:t>
      </w:r>
    </w:p>
    <w:p w14:paraId="59FC1C0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Devem ser disponibilizados também manuais de uso da ferramenta.</w:t>
      </w:r>
    </w:p>
    <w:p w14:paraId="37CC14DB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Caso seja fornecido um autotreinamento, deverá ser fornecido no mínimo 4 horas de curso interativo com instrutor especializado para tirar dúvidas e aperfeiçoamento do conhecimento.</w:t>
      </w:r>
    </w:p>
    <w:p w14:paraId="2B48E702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Suporte técnico da ferramenta</w:t>
      </w:r>
    </w:p>
    <w:p w14:paraId="26D2FC36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134"/>
        </w:tabs>
        <w:spacing w:before="12" w:afterLines="24" w:after="57" w:line="300" w:lineRule="auto"/>
        <w:ind w:left="709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A empresa deve fornecer no mínimo as seguintes formas para contato e suporte:</w:t>
      </w:r>
    </w:p>
    <w:p w14:paraId="07227E36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Sistema online para abertura de chamados.</w:t>
      </w:r>
    </w:p>
    <w:p w14:paraId="515081E2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E-mail</w:t>
      </w:r>
    </w:p>
    <w:p w14:paraId="189391A5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134"/>
        </w:tabs>
        <w:spacing w:before="12" w:afterLines="24" w:after="57" w:line="300" w:lineRule="auto"/>
        <w:ind w:left="851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Telefone</w:t>
      </w:r>
    </w:p>
    <w:p w14:paraId="704738E9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134"/>
        </w:tabs>
        <w:spacing w:before="12" w:afterLines="24" w:after="57" w:line="300" w:lineRule="auto"/>
        <w:ind w:left="567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>Forma de acesso ao ambiente do Badesul será através de VPN site-</w:t>
      </w:r>
      <w:proofErr w:type="spellStart"/>
      <w:r w:rsidRPr="00266D72">
        <w:rPr>
          <w:rFonts w:ascii="Bookman Old Style" w:hAnsi="Bookman Old Style"/>
          <w:szCs w:val="24"/>
        </w:rPr>
        <w:t>to</w:t>
      </w:r>
      <w:proofErr w:type="spellEnd"/>
      <w:r w:rsidRPr="00266D72">
        <w:rPr>
          <w:rFonts w:ascii="Bookman Old Style" w:hAnsi="Bookman Old Style"/>
          <w:szCs w:val="24"/>
        </w:rPr>
        <w:t>-site.</w:t>
      </w:r>
    </w:p>
    <w:p w14:paraId="775F37E7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134"/>
        </w:tabs>
        <w:spacing w:before="12" w:afterLines="24" w:after="57" w:line="300" w:lineRule="auto"/>
        <w:ind w:left="426" w:right="0"/>
        <w:rPr>
          <w:rFonts w:ascii="Bookman Old Style" w:hAnsi="Bookman Old Style"/>
          <w:szCs w:val="24"/>
        </w:rPr>
      </w:pPr>
      <w:r w:rsidRPr="00266D72">
        <w:rPr>
          <w:rFonts w:ascii="Bookman Old Style" w:hAnsi="Bookman Old Style"/>
          <w:szCs w:val="24"/>
        </w:rPr>
        <w:t xml:space="preserve">Faz-se imprescindível a inclusão de </w:t>
      </w:r>
      <w:proofErr w:type="spellStart"/>
      <w:r w:rsidRPr="00266D72">
        <w:rPr>
          <w:rFonts w:ascii="Bookman Old Style" w:hAnsi="Bookman Old Style"/>
          <w:szCs w:val="24"/>
        </w:rPr>
        <w:t>SLAs</w:t>
      </w:r>
      <w:proofErr w:type="spellEnd"/>
      <w:r w:rsidRPr="00266D72">
        <w:rPr>
          <w:rFonts w:ascii="Bookman Old Style" w:hAnsi="Bookman Old Style"/>
          <w:szCs w:val="24"/>
        </w:rPr>
        <w:t xml:space="preserve"> robustos, a fim de que a fiscalização da contratação pretendida possa ser eficaz e eficiente.</w:t>
      </w:r>
    </w:p>
    <w:p w14:paraId="1AF0A377" w14:textId="77777777" w:rsidR="004A597D" w:rsidRPr="00266D72" w:rsidRDefault="004A597D" w:rsidP="004A597D">
      <w:pPr>
        <w:spacing w:before="12" w:afterLines="24" w:after="57" w:line="300" w:lineRule="auto"/>
        <w:ind w:right="57"/>
        <w:rPr>
          <w:rFonts w:ascii="Bookman Old Style" w:hAnsi="Bookman Old Style"/>
          <w:sz w:val="24"/>
          <w:szCs w:val="24"/>
        </w:rPr>
      </w:pPr>
    </w:p>
    <w:p w14:paraId="1CBBBA2A" w14:textId="77777777" w:rsidR="004A597D" w:rsidRPr="00266D72" w:rsidRDefault="004A597D" w:rsidP="004A597D">
      <w:pPr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afterLines="24" w:after="57" w:line="300" w:lineRule="auto"/>
        <w:ind w:left="0" w:right="57" w:firstLine="0"/>
        <w:jc w:val="center"/>
        <w:rPr>
          <w:rFonts w:ascii="Bookman Old Style" w:hAnsi="Bookman Old Style"/>
          <w:b/>
          <w:bCs/>
          <w:caps/>
          <w:sz w:val="24"/>
          <w:szCs w:val="24"/>
        </w:rPr>
      </w:pPr>
      <w:r w:rsidRPr="00266D72">
        <w:rPr>
          <w:rFonts w:ascii="Bookman Old Style" w:hAnsi="Bookman Old Style"/>
          <w:b/>
          <w:bCs/>
          <w:caps/>
          <w:sz w:val="24"/>
          <w:szCs w:val="24"/>
        </w:rPr>
        <w:lastRenderedPageBreak/>
        <w:t xml:space="preserve">Descrição da solução como um todo </w:t>
      </w:r>
    </w:p>
    <w:p w14:paraId="68E19DFE" w14:textId="77777777" w:rsidR="004A597D" w:rsidRPr="00266D72" w:rsidRDefault="004A597D" w:rsidP="004A597D">
      <w:pPr>
        <w:pStyle w:val="Recuodecorpodetexto2"/>
        <w:numPr>
          <w:ilvl w:val="1"/>
          <w:numId w:val="7"/>
        </w:numPr>
        <w:tabs>
          <w:tab w:val="left" w:pos="1418"/>
        </w:tabs>
        <w:spacing w:before="12" w:after="24" w:line="300" w:lineRule="auto"/>
        <w:ind w:left="0" w:right="0" w:firstLine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 ferramenta deverá apresentar, no mínimo, os seguintes requisitos:</w:t>
      </w:r>
    </w:p>
    <w:p w14:paraId="32771714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418"/>
        </w:tabs>
        <w:spacing w:before="12" w:after="24" w:line="300" w:lineRule="auto"/>
        <w:ind w:left="567" w:right="0"/>
        <w:rPr>
          <w:rFonts w:ascii="Bookman Old Style" w:hAnsi="Bookman Old Style" w:cs="Arial"/>
          <w:szCs w:val="24"/>
          <w:u w:val="single"/>
        </w:rPr>
      </w:pPr>
      <w:r w:rsidRPr="00266D72">
        <w:rPr>
          <w:rFonts w:ascii="Bookman Old Style" w:hAnsi="Bookman Old Style" w:cs="Arial"/>
          <w:szCs w:val="24"/>
          <w:u w:val="single"/>
        </w:rPr>
        <w:t>No escopo da gestão de itens de configuração</w:t>
      </w:r>
    </w:p>
    <w:p w14:paraId="1DBD3322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ser capaz de armazenar todos os tipos de Itens de Configuração do ambiente de forma independente e cada qual com seu conjunto de atributos e configurações de forma isolada, sem fundir, sem agregar ou misturar Itens de Configuração. </w:t>
      </w:r>
    </w:p>
    <w:p w14:paraId="7E5F632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Deverá possuir modelos (</w:t>
      </w:r>
      <w:proofErr w:type="spellStart"/>
      <w:r w:rsidRPr="00266D72">
        <w:rPr>
          <w:rFonts w:ascii="Bookman Old Style" w:hAnsi="Bookman Old Style" w:cs="Arial"/>
          <w:szCs w:val="24"/>
        </w:rPr>
        <w:t>templates</w:t>
      </w:r>
      <w:proofErr w:type="spellEnd"/>
      <w:r w:rsidRPr="00266D72">
        <w:rPr>
          <w:rFonts w:ascii="Bookman Old Style" w:hAnsi="Bookman Old Style" w:cs="Arial"/>
          <w:szCs w:val="24"/>
        </w:rPr>
        <w:t>) de Itens de Configuração pré-definidos que permitam sua criação na CMDB com atributos essenciais para cada tipo de IC. A ferramenta deverá possuir no mínimo os seguintes Modelos de Itens de Configuração:</w:t>
      </w:r>
    </w:p>
    <w:p w14:paraId="2C6C047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b/>
          <w:bCs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 </w:t>
      </w:r>
      <w:r w:rsidRPr="00266D72">
        <w:rPr>
          <w:rFonts w:ascii="Bookman Old Style" w:hAnsi="Bookman Old Style" w:cs="Arial"/>
          <w:b/>
          <w:bCs/>
          <w:szCs w:val="24"/>
        </w:rPr>
        <w:t>Sistemas Operacionais Microsoft Windows Server</w:t>
      </w:r>
    </w:p>
    <w:p w14:paraId="46F5457E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Físicos do Sistema Operacional</w:t>
      </w:r>
    </w:p>
    <w:p w14:paraId="4A77C5F2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lógicos do Sistema Operacional</w:t>
      </w:r>
    </w:p>
    <w:p w14:paraId="6FF1A037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Interfaces de rede</w:t>
      </w:r>
    </w:p>
    <w:p w14:paraId="239C4CE0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Serviços do Sistema Operacional</w:t>
      </w:r>
    </w:p>
    <w:p w14:paraId="3E3E009F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Processos do Sistema Operacional</w:t>
      </w:r>
    </w:p>
    <w:p w14:paraId="6BAAA608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Programas Instalados no Sistema Operacional</w:t>
      </w:r>
    </w:p>
    <w:p w14:paraId="0CB06BAF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Todas as funcionalidades nativas (Roles) do sistema operacional</w:t>
      </w:r>
    </w:p>
    <w:p w14:paraId="671FC5E7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>Sistemas Operacionais Linux</w:t>
      </w:r>
    </w:p>
    <w:p w14:paraId="48F82B00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Físicos do Sistema Operacional</w:t>
      </w:r>
    </w:p>
    <w:p w14:paraId="7396710B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lógicos do Sistema Operacional</w:t>
      </w:r>
    </w:p>
    <w:p w14:paraId="6D7BAF3A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Interfaces de rede</w:t>
      </w:r>
    </w:p>
    <w:p w14:paraId="3CFE2434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Serviços do Sistema Operacional</w:t>
      </w:r>
    </w:p>
    <w:p w14:paraId="7CBFBA86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Processos do Sistema Operacional</w:t>
      </w:r>
    </w:p>
    <w:p w14:paraId="6263AC80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Programas Instalados no Sistema Operacional</w:t>
      </w:r>
    </w:p>
    <w:p w14:paraId="24DD943A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Pacotes de Software nativas do Sistema Operacional (DEB, RPM etc.)</w:t>
      </w:r>
    </w:p>
    <w:p w14:paraId="638C33DC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sz w:val="24"/>
          <w:szCs w:val="24"/>
        </w:rPr>
      </w:pPr>
      <w:r w:rsidRPr="00266D72">
        <w:rPr>
          <w:rFonts w:ascii="Bookman Old Style" w:hAnsi="Bookman Old Style" w:cs="Arial"/>
          <w:b/>
          <w:sz w:val="24"/>
          <w:szCs w:val="24"/>
        </w:rPr>
        <w:t xml:space="preserve">Tecnologia </w:t>
      </w:r>
      <w:proofErr w:type="spellStart"/>
      <w:r w:rsidRPr="00266D72">
        <w:rPr>
          <w:rFonts w:ascii="Bookman Old Style" w:hAnsi="Bookman Old Style" w:cs="Arial"/>
          <w:b/>
          <w:sz w:val="24"/>
          <w:szCs w:val="24"/>
        </w:rPr>
        <w:t>VmWare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Hyper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>-V etc.</w:t>
      </w:r>
      <w:r w:rsidRPr="00266D72">
        <w:rPr>
          <w:rFonts w:ascii="Bookman Old Style" w:hAnsi="Bookman Old Style" w:cs="Arial"/>
          <w:b/>
          <w:sz w:val="24"/>
          <w:szCs w:val="24"/>
        </w:rPr>
        <w:t xml:space="preserve">  </w:t>
      </w:r>
    </w:p>
    <w:p w14:paraId="14AE6102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Datacenters</w:t>
      </w:r>
    </w:p>
    <w:p w14:paraId="00CC344A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Clusters</w:t>
      </w:r>
    </w:p>
    <w:p w14:paraId="34FEB4F4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Servidores Físicos</w:t>
      </w:r>
    </w:p>
    <w:p w14:paraId="2A70C5B7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lastRenderedPageBreak/>
        <w:t>Máquinas Virtuais</w:t>
      </w:r>
    </w:p>
    <w:p w14:paraId="435DD0FD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proofErr w:type="spellStart"/>
      <w:r w:rsidRPr="00266D72">
        <w:rPr>
          <w:rFonts w:ascii="Bookman Old Style" w:hAnsi="Bookman Old Style" w:cs="Arial"/>
          <w:sz w:val="24"/>
          <w:szCs w:val="24"/>
        </w:rPr>
        <w:t>Storages</w:t>
      </w:r>
      <w:proofErr w:type="spellEnd"/>
    </w:p>
    <w:p w14:paraId="01275165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>Bancos de Dados MS SQL Server, MySQL, PostgreSQL</w:t>
      </w:r>
    </w:p>
    <w:p w14:paraId="5C6A3275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Instância do Banco de Dados</w:t>
      </w:r>
    </w:p>
    <w:p w14:paraId="711E9722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proofErr w:type="spellStart"/>
      <w:r w:rsidRPr="00266D72">
        <w:rPr>
          <w:rFonts w:ascii="Bookman Old Style" w:hAnsi="Bookman Old Style" w:cs="Arial"/>
          <w:sz w:val="24"/>
          <w:szCs w:val="24"/>
        </w:rPr>
        <w:t>Database</w:t>
      </w:r>
      <w:proofErr w:type="spellEnd"/>
    </w:p>
    <w:p w14:paraId="3D98D67B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Tabelas</w:t>
      </w:r>
    </w:p>
    <w:p w14:paraId="2B691283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Campos de Tabelas</w:t>
      </w:r>
    </w:p>
    <w:p w14:paraId="78F7FFA8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Servidores de Aplicação e HTTP (Microsoft IIS,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Tomcat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, JBoss,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WildFly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, </w:t>
      </w:r>
      <w:proofErr w:type="gramStart"/>
      <w:r w:rsidRPr="00266D72">
        <w:rPr>
          <w:rFonts w:ascii="Bookman Old Style" w:hAnsi="Bookman Old Style" w:cs="Arial"/>
          <w:b/>
          <w:bCs/>
          <w:sz w:val="24"/>
          <w:szCs w:val="24"/>
        </w:rPr>
        <w:t>Apache  HTTP</w:t>
      </w:r>
      <w:proofErr w:type="gram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 Server,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Nginx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>)</w:t>
      </w:r>
    </w:p>
    <w:p w14:paraId="5D17C897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Instâncias de Servidores de Aplicação</w:t>
      </w:r>
    </w:p>
    <w:p w14:paraId="74772CBB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proofErr w:type="spellStart"/>
      <w:r w:rsidRPr="00266D72">
        <w:rPr>
          <w:rFonts w:ascii="Bookman Old Style" w:hAnsi="Bookman Old Style" w:cs="Arial"/>
          <w:sz w:val="24"/>
          <w:szCs w:val="24"/>
        </w:rPr>
        <w:t>WebSites</w:t>
      </w:r>
      <w:proofErr w:type="spellEnd"/>
      <w:r w:rsidRPr="00266D72">
        <w:rPr>
          <w:rFonts w:ascii="Bookman Old Style" w:hAnsi="Bookman Old Style" w:cs="Arial"/>
          <w:sz w:val="24"/>
          <w:szCs w:val="24"/>
        </w:rPr>
        <w:t xml:space="preserve"> ou equivalentes em cada tecnologia</w:t>
      </w:r>
    </w:p>
    <w:p w14:paraId="1AFC0702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Switches e Roteadores Cisco, Dell, 3Com, HPE etc.  </w:t>
      </w:r>
    </w:p>
    <w:p w14:paraId="51A5A1FB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 xml:space="preserve">Dispositivos </w:t>
      </w:r>
    </w:p>
    <w:p w14:paraId="5A43F43F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Interfaces (portas)</w:t>
      </w:r>
    </w:p>
    <w:p w14:paraId="7BFDFB76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Access Point</w:t>
      </w:r>
    </w:p>
    <w:p w14:paraId="59A4D141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Firewalls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Ogasec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Fortinet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, Quantum, </w:t>
      </w: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Palo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 Alto etc. </w:t>
      </w:r>
    </w:p>
    <w:p w14:paraId="22FCA054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Equipamento de Firewall</w:t>
      </w:r>
    </w:p>
    <w:p w14:paraId="509F77B4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Interfaces do Firewall</w:t>
      </w:r>
    </w:p>
    <w:p w14:paraId="10C00F48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proofErr w:type="spellStart"/>
      <w:r w:rsidRPr="00266D72">
        <w:rPr>
          <w:rFonts w:ascii="Bookman Old Style" w:hAnsi="Bookman Old Style" w:cs="Arial"/>
          <w:b/>
          <w:bCs/>
          <w:sz w:val="24"/>
          <w:szCs w:val="24"/>
        </w:rPr>
        <w:t>Storages</w:t>
      </w:r>
      <w:proofErr w:type="spellEnd"/>
      <w:r w:rsidRPr="00266D72">
        <w:rPr>
          <w:rFonts w:ascii="Bookman Old Style" w:hAnsi="Bookman Old Style" w:cs="Arial"/>
          <w:b/>
          <w:bCs/>
          <w:sz w:val="24"/>
          <w:szCs w:val="24"/>
        </w:rPr>
        <w:t xml:space="preserve"> EMC/DELL, IBM, HPE etc. </w:t>
      </w:r>
    </w:p>
    <w:p w14:paraId="3316FD4C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 xml:space="preserve">Equipamento </w:t>
      </w:r>
      <w:proofErr w:type="spellStart"/>
      <w:r w:rsidRPr="00266D72">
        <w:rPr>
          <w:rFonts w:ascii="Bookman Old Style" w:hAnsi="Bookman Old Style" w:cs="Arial"/>
          <w:sz w:val="24"/>
          <w:szCs w:val="24"/>
        </w:rPr>
        <w:t>Storage</w:t>
      </w:r>
      <w:proofErr w:type="spellEnd"/>
    </w:p>
    <w:p w14:paraId="140012AC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Físicos</w:t>
      </w:r>
    </w:p>
    <w:p w14:paraId="61D8FD97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Grupos de Disco ou equivalente em cada tecnologia</w:t>
      </w:r>
    </w:p>
    <w:p w14:paraId="5C857108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lógicos (</w:t>
      </w:r>
      <w:proofErr w:type="spellStart"/>
      <w:r w:rsidRPr="00266D72">
        <w:rPr>
          <w:rFonts w:ascii="Bookman Old Style" w:hAnsi="Bookman Old Style" w:cs="Arial"/>
          <w:sz w:val="24"/>
          <w:szCs w:val="24"/>
        </w:rPr>
        <w:t>Luns</w:t>
      </w:r>
      <w:proofErr w:type="spellEnd"/>
      <w:r w:rsidRPr="00266D72">
        <w:rPr>
          <w:rFonts w:ascii="Bookman Old Style" w:hAnsi="Bookman Old Style" w:cs="Arial"/>
          <w:sz w:val="24"/>
          <w:szCs w:val="24"/>
        </w:rPr>
        <w:t>) ou equivalente em cada tecnologia</w:t>
      </w:r>
    </w:p>
    <w:p w14:paraId="064E1E52" w14:textId="77777777" w:rsidR="004A597D" w:rsidRPr="00266D72" w:rsidRDefault="004A597D" w:rsidP="004A597D">
      <w:pPr>
        <w:numPr>
          <w:ilvl w:val="4"/>
          <w:numId w:val="7"/>
        </w:numPr>
        <w:spacing w:before="12" w:afterLines="24" w:after="57" w:line="300" w:lineRule="auto"/>
        <w:ind w:left="851" w:right="57"/>
        <w:jc w:val="both"/>
        <w:rPr>
          <w:rFonts w:ascii="Bookman Old Style" w:hAnsi="Bookman Old Style" w:cs="Arial"/>
          <w:b/>
          <w:bCs/>
          <w:sz w:val="24"/>
          <w:szCs w:val="24"/>
        </w:rPr>
      </w:pPr>
      <w:r w:rsidRPr="00266D72">
        <w:rPr>
          <w:rFonts w:ascii="Bookman Old Style" w:hAnsi="Bookman Old Style" w:cs="Arial"/>
          <w:b/>
          <w:bCs/>
          <w:sz w:val="24"/>
          <w:szCs w:val="24"/>
        </w:rPr>
        <w:t>Servidores (Hardware)</w:t>
      </w:r>
    </w:p>
    <w:p w14:paraId="7DEDDE2B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Equipamento Servidor</w:t>
      </w:r>
    </w:p>
    <w:p w14:paraId="2971022C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Discos Físicos</w:t>
      </w:r>
    </w:p>
    <w:p w14:paraId="6F6D10D9" w14:textId="77777777" w:rsidR="004A597D" w:rsidRPr="00266D72" w:rsidRDefault="004A597D" w:rsidP="004A597D">
      <w:pPr>
        <w:numPr>
          <w:ilvl w:val="5"/>
          <w:numId w:val="7"/>
        </w:numPr>
        <w:spacing w:before="12" w:afterLines="24" w:after="57" w:line="300" w:lineRule="auto"/>
        <w:ind w:left="993" w:right="57"/>
        <w:jc w:val="both"/>
        <w:rPr>
          <w:rFonts w:ascii="Bookman Old Style" w:hAnsi="Bookman Old Style" w:cs="Arial"/>
          <w:sz w:val="24"/>
          <w:szCs w:val="24"/>
        </w:rPr>
      </w:pPr>
      <w:r w:rsidRPr="00266D72">
        <w:rPr>
          <w:rFonts w:ascii="Bookman Old Style" w:hAnsi="Bookman Old Style" w:cs="Arial"/>
          <w:sz w:val="24"/>
          <w:szCs w:val="24"/>
        </w:rPr>
        <w:t>Periféricos essenciais</w:t>
      </w:r>
    </w:p>
    <w:p w14:paraId="462C3DE2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ter a capacidade de descobrir no ambiente, a partir do fornecimento de endereçamento das redes, dos domínios do Active </w:t>
      </w:r>
      <w:proofErr w:type="spellStart"/>
      <w:r w:rsidRPr="00266D72">
        <w:rPr>
          <w:rFonts w:ascii="Bookman Old Style" w:hAnsi="Bookman Old Style" w:cs="Arial"/>
          <w:szCs w:val="24"/>
        </w:rPr>
        <w:t>Directory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respectivas credenciais, no mínimo os itens citados acima.</w:t>
      </w:r>
    </w:p>
    <w:p w14:paraId="2A4ED40E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O mecanismo de descobertas deverá trabalhar continuamente sem interação humana, inserir e remover Itens de Configuração na CMDB de acordo com as variações do ambiente de TI.</w:t>
      </w:r>
    </w:p>
    <w:p w14:paraId="2D29E57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lastRenderedPageBreak/>
        <w:t xml:space="preserve">O mecanismo de descoberta não deverá exigir </w:t>
      </w:r>
      <w:proofErr w:type="gramStart"/>
      <w:r w:rsidRPr="00266D72">
        <w:rPr>
          <w:rFonts w:ascii="Bookman Old Style" w:hAnsi="Bookman Old Style" w:cs="Arial"/>
          <w:szCs w:val="24"/>
        </w:rPr>
        <w:t>agente</w:t>
      </w:r>
      <w:proofErr w:type="gramEnd"/>
      <w:r w:rsidRPr="00266D72">
        <w:rPr>
          <w:rFonts w:ascii="Bookman Old Style" w:hAnsi="Bookman Old Style" w:cs="Arial"/>
          <w:szCs w:val="24"/>
        </w:rPr>
        <w:t xml:space="preserve"> a ser instalado nos dispositivos a serem descobertos.</w:t>
      </w:r>
    </w:p>
    <w:p w14:paraId="3B54F1E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permitir a criação de modelos customizados para que se possa criar tipos de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que não são fornecidos por padrão com a ferramenta.</w:t>
      </w:r>
    </w:p>
    <w:p w14:paraId="44D1056E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O mecanismo de descoberta deve ser flexível para que se possa incrementá-lo para que se consiga descobrir automaticamente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dos modelos customizados conforme definido no item anterior.</w:t>
      </w:r>
    </w:p>
    <w:p w14:paraId="21CA36FD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ter a capacidade de armazenar as relações entre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presentes no ambiente de TI, classificando-as de acordo com o motivo de relacionamento tais como: IC X armazena dados de IC Y, IC X envia dados para IC Y, IC X recebe dados de IC </w:t>
      </w:r>
      <w:proofErr w:type="gramStart"/>
      <w:r w:rsidRPr="00266D72">
        <w:rPr>
          <w:rFonts w:ascii="Bookman Old Style" w:hAnsi="Bookman Old Style" w:cs="Arial"/>
          <w:szCs w:val="24"/>
        </w:rPr>
        <w:t>Y, etc.</w:t>
      </w:r>
      <w:proofErr w:type="gramEnd"/>
      <w:r w:rsidRPr="00266D72">
        <w:rPr>
          <w:rFonts w:ascii="Bookman Old Style" w:hAnsi="Bookman Old Style" w:cs="Arial"/>
          <w:szCs w:val="24"/>
        </w:rPr>
        <w:t xml:space="preserve"> Tais dados explicativos devem ser parte obrigatória da criação da relação entre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tais explicações devem ser padronizadas na ferramenta, porém devem permitir a expansão dos tipos de relação conforme necessário.</w:t>
      </w:r>
    </w:p>
    <w:p w14:paraId="65AC3C35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O mecanismo de descobertas deverá descobrir relações entre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, relacionado automaticamente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que possuem dependência intrínseca (um é composto pelo outro) ou ainda relações de dependência por funcionamento. Além das relações intrínsecas de cada IC, a ferramenta deve detectar automaticamente no mínimo as seguintes relações entre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>:</w:t>
      </w:r>
    </w:p>
    <w:p w14:paraId="1B8EB537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Servidores Virtuais e Clusters do </w:t>
      </w:r>
      <w:proofErr w:type="spellStart"/>
      <w:r w:rsidRPr="00266D72">
        <w:rPr>
          <w:rFonts w:ascii="Bookman Old Style" w:hAnsi="Bookman Old Style" w:cs="Arial"/>
          <w:szCs w:val="24"/>
        </w:rPr>
        <w:t>Hyper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-V e VMware </w:t>
      </w:r>
      <w:proofErr w:type="spellStart"/>
      <w:r w:rsidRPr="00266D72">
        <w:rPr>
          <w:rFonts w:ascii="Bookman Old Style" w:hAnsi="Bookman Old Style" w:cs="Arial"/>
          <w:szCs w:val="24"/>
        </w:rPr>
        <w:t>ESXi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e/ou Servidores Físicos que os mantém em funcionamento;</w:t>
      </w:r>
    </w:p>
    <w:p w14:paraId="4CCAD167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Discos Lógicos com Discos Físicos dos servidores;</w:t>
      </w:r>
    </w:p>
    <w:p w14:paraId="1BD02EC4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Discos dos Servidores com Arquivos de Discos Virtuais;</w:t>
      </w:r>
    </w:p>
    <w:p w14:paraId="1C9EE095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Discos de Servidores com Unidades de Disco de </w:t>
      </w:r>
      <w:proofErr w:type="spellStart"/>
      <w:r w:rsidRPr="00266D72">
        <w:rPr>
          <w:rFonts w:ascii="Bookman Old Style" w:hAnsi="Bookman Old Style" w:cs="Arial"/>
          <w:szCs w:val="24"/>
        </w:rPr>
        <w:t>Storages</w:t>
      </w:r>
      <w:proofErr w:type="spellEnd"/>
      <w:r w:rsidRPr="00266D72">
        <w:rPr>
          <w:rFonts w:ascii="Bookman Old Style" w:hAnsi="Bookman Old Style" w:cs="Arial"/>
          <w:szCs w:val="24"/>
        </w:rPr>
        <w:t>;</w:t>
      </w:r>
    </w:p>
    <w:p w14:paraId="161A83A1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Serviços de Servidores com Aplicações Instaladas no Servidor que deram origem ao Serviço;</w:t>
      </w:r>
    </w:p>
    <w:p w14:paraId="1238869E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Processos rodando em um Servidor com o Serviço que os pôs em execução;</w:t>
      </w:r>
    </w:p>
    <w:p w14:paraId="1D9107A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Processos que conversam entre si por sockets de rede.</w:t>
      </w:r>
    </w:p>
    <w:p w14:paraId="5FE08576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permitir a complementação de relações entre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para que o usuário crie relações que o Discovery não criou automaticamente.</w:t>
      </w:r>
    </w:p>
    <w:p w14:paraId="436CE53F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permitir a criação de aplicações de negócio e outros recursos oferecidos aos usuários, e relacioná-la com Itens de Configuração da CMDB criando uma árvore de dependências da Aplicação que deve ser </w:t>
      </w:r>
      <w:r w:rsidRPr="00266D72">
        <w:rPr>
          <w:rFonts w:ascii="Bookman Old Style" w:hAnsi="Bookman Old Style" w:cs="Arial"/>
          <w:szCs w:val="24"/>
        </w:rPr>
        <w:lastRenderedPageBreak/>
        <w:t>exibida em painel analítico que explique o funcionamento/dependências da aplicação. Tal árvore deve ser encadeada com as dependências de cada IC do qual a aplicação depende diretamente, criando uma relação causa-efeito de falha.</w:t>
      </w:r>
    </w:p>
    <w:p w14:paraId="43A37282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permitir identificar, dado um IC ou Aplicação de Negócio, a identificação de Single Points </w:t>
      </w:r>
      <w:proofErr w:type="spellStart"/>
      <w:r w:rsidRPr="00266D72">
        <w:rPr>
          <w:rFonts w:ascii="Bookman Old Style" w:hAnsi="Bookman Old Style" w:cs="Arial"/>
          <w:szCs w:val="24"/>
        </w:rPr>
        <w:t>of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</w:t>
      </w:r>
      <w:proofErr w:type="spellStart"/>
      <w:r w:rsidRPr="00266D72">
        <w:rPr>
          <w:rFonts w:ascii="Bookman Old Style" w:hAnsi="Bookman Old Style" w:cs="Arial"/>
          <w:szCs w:val="24"/>
        </w:rPr>
        <w:t>Failures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(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), que são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que potencialmente podem individualmente causar interrupções no IC/Aplicação analisada em caso de falhas. Tal listagem de 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deve ser feita em relatório específico e de fácil emissão, sem procedimentos manuais.</w:t>
      </w:r>
    </w:p>
    <w:p w14:paraId="706CD026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permitir a identificação de impactos que um IC pode causar em outros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aplicações caso venha a falhar. Tal listagem de impactos deve ser feita em relatório específico e de fácil emissão, sem procedimentos manuais.</w:t>
      </w:r>
    </w:p>
    <w:p w14:paraId="197A235D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Tanto a listagem de 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como as de impactos devem considerar possíveis redundâncias entre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, sendo então necessário que a CMDB possua algum mecanismo que mantenha informações sobre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redundantes entre si, podendo ser agrupados em clusters de 2 ou mais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</w:t>
      </w:r>
      <w:proofErr w:type="gramStart"/>
      <w:r w:rsidRPr="00266D72">
        <w:rPr>
          <w:rFonts w:ascii="Bookman Old Style" w:hAnsi="Bookman Old Style" w:cs="Arial"/>
          <w:szCs w:val="24"/>
        </w:rPr>
        <w:t>e também</w:t>
      </w:r>
      <w:proofErr w:type="gramEnd"/>
      <w:r w:rsidRPr="00266D72">
        <w:rPr>
          <w:rFonts w:ascii="Bookman Old Style" w:hAnsi="Bookman Old Style" w:cs="Arial"/>
          <w:szCs w:val="24"/>
        </w:rPr>
        <w:t xml:space="preserve"> permitindo-se informar quantos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de um cluster devem estar ativos para que o cluster seja considerado operacional. Essa lógica de </w:t>
      </w:r>
      <w:proofErr w:type="spellStart"/>
      <w:r w:rsidRPr="00266D72">
        <w:rPr>
          <w:rFonts w:ascii="Bookman Old Style" w:hAnsi="Bookman Old Style" w:cs="Arial"/>
          <w:szCs w:val="24"/>
        </w:rPr>
        <w:t>CIs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redundantes deve ser refletida nas listagens de 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Impactos definidas nos dois itens anteriores.</w:t>
      </w:r>
    </w:p>
    <w:p w14:paraId="7DAB6D70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possuir interfaces de navegação nos dados da CMDB, que permitam filtros por grupos de tipos de IC, atributos específicos de IC, relações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que permita a elaboração de listagens de acordo com esses filtros. </w:t>
      </w:r>
    </w:p>
    <w:p w14:paraId="34926CE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 ferramenta deverá também oferecer formas que se possa criar painéis customizados de navegação nos dados da CMDB.</w:t>
      </w:r>
    </w:p>
    <w:p w14:paraId="7068C6A3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418"/>
        </w:tabs>
        <w:spacing w:before="12" w:after="24" w:line="300" w:lineRule="auto"/>
        <w:ind w:left="567" w:right="0"/>
        <w:rPr>
          <w:rFonts w:ascii="Bookman Old Style" w:hAnsi="Bookman Old Style" w:cs="Arial"/>
          <w:szCs w:val="24"/>
          <w:u w:val="single"/>
        </w:rPr>
      </w:pPr>
      <w:r w:rsidRPr="00266D72">
        <w:rPr>
          <w:rFonts w:ascii="Bookman Old Style" w:hAnsi="Bookman Old Style" w:cs="Arial"/>
          <w:szCs w:val="24"/>
          <w:u w:val="single"/>
        </w:rPr>
        <w:t>No escopo de monitoramento de disponibilidade e capacidade</w:t>
      </w:r>
    </w:p>
    <w:p w14:paraId="7E994A8E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automaticamente passar a monitorar quanto à disponibilidade e capacidade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que forem cadastrados na CMDB, precisando, portanto, possuir Modelos de Indicadores para os elementos já citados.</w:t>
      </w:r>
    </w:p>
    <w:p w14:paraId="59CE26CA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Os Indicadores para cada um dos tipos de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deverão cumprir todas as necessidades que permitam aos usuários da ferramenta possuir as informações necessárias para definir se o IC está disponível </w:t>
      </w:r>
      <w:r w:rsidRPr="00266D72">
        <w:rPr>
          <w:rFonts w:ascii="Bookman Old Style" w:hAnsi="Bookman Old Style" w:cs="Arial"/>
          <w:szCs w:val="24"/>
        </w:rPr>
        <w:lastRenderedPageBreak/>
        <w:t>e respondendo com a performance adequada para o bom funcionamento dos serviços mantidos pelo departamento de TI.</w:t>
      </w:r>
    </w:p>
    <w:p w14:paraId="54B3014D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permitir a customização dos modelos de monitoramento bem como a criação de novos indicadores para modelos de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padrão ou customizados.</w:t>
      </w:r>
    </w:p>
    <w:p w14:paraId="7245D2B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O monitoramento de disponibilidade e capacidade deve ser realizado em perfeita harmonia com a CMDB. Elementos que venham ser adicionados ou removidos da CMDB devem imediatamente ser adicionados ou removidos no monitoramento.</w:t>
      </w:r>
    </w:p>
    <w:p w14:paraId="7BB1BE52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manter históricos das coletas de disponibilidade e capacidade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>, por tempo configurável pelos usuários do sistema e sem restrições de tempo.</w:t>
      </w:r>
    </w:p>
    <w:p w14:paraId="6CDF5C21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Devem gerar alertas quando um IC estiver indisponível por mau funcionamento.</w:t>
      </w:r>
    </w:p>
    <w:p w14:paraId="4FDE4012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 gerar alertas sempre que indicadores de capacidade ou performance estiverem fora da faixa desejável, que deve ser definida no modelo de monitoramento, permitindo a customização desses parâmetros por parte do usuário da ferramenta.</w:t>
      </w:r>
    </w:p>
    <w:p w14:paraId="1C4CC38A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permitir a emissão de relatórios de disponibilidade e capacidade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com filtros por período, por dias específicos da semana, e horas específicas do dia.</w:t>
      </w:r>
    </w:p>
    <w:p w14:paraId="47F6462C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permitir a elaboração de relatórios consolidados de disponibilidade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com cálculos percentuais de tempo quando o IC esteve disponível ou indisponível no período especificado.</w:t>
      </w:r>
    </w:p>
    <w:p w14:paraId="4DEED2EF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permitir a elaboração de relatórios consolidados de capacidade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com cálculos percentuais de tempo quando o IC esteve dentro ou fora da faixa de performance aceitável no período especificado.</w:t>
      </w:r>
    </w:p>
    <w:p w14:paraId="5E1F0991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 permitir que esses relatórios citados nos três últimos itens sejam criados automaticamente em horários agendados e enviados por e-mail aos interessados de forma automática.</w:t>
      </w:r>
    </w:p>
    <w:p w14:paraId="67BEEB5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permitir o monitoramento de aplicações de negócio (e outros recursos oferecidos aos usuários) em função de suas dependências, definidas pelas relações entre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>. O monitoramento de aplicações deve permitir identificar ao mau funcionamento de uma aplicação devido ao mau-funcionamento de um IC que à sustenta.</w:t>
      </w:r>
    </w:p>
    <w:p w14:paraId="22578FD9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lastRenderedPageBreak/>
        <w:t>Ao inserir direta ou indiretamente um IC na linha de dependência de uma aplicação na CMDB, esse IC deve automaticamente ser inserido no monitoramento da Aplicação de negócio.</w:t>
      </w:r>
    </w:p>
    <w:p w14:paraId="14363B7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Ao ser removido da árvore de dependências de uma aplicação de negócios na CMDB, o IC não deve mais influenciar na disponibilidade da aplicação.</w:t>
      </w:r>
    </w:p>
    <w:p w14:paraId="7F952B6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As questões de redundância entre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definidas na CMDB devem ser consideradas ao monitorar aplicações de negócio. Ou seja, se um IC que possui redundância falhar, a ferramenta deve ter a capacidade de avaliar se há um ou mais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redundantes antes de definir o status da Aplicação de Negócio fazendo uso dos recursos de avaliação de 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e de impactos.</w:t>
      </w:r>
    </w:p>
    <w:p w14:paraId="18B0394A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 ferramenta deverá permitir a elaboração automatizada de relatórios de disponibilidade das aplicações de negócio que resumem percentualmente o índice de disponibilidade e indisponibilidade de cada aplicação ou recurso de usuário, podendo ser agendado envio automático por e-mail aos interessados.</w:t>
      </w:r>
    </w:p>
    <w:p w14:paraId="3B927804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possuir painéis (dashboards) que demonstrem o estado de saúde do ambiente, apontando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indisponíveis ou fora da faixa de capacidade/performance desejada.</w:t>
      </w:r>
    </w:p>
    <w:p w14:paraId="7D130AC4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Os dashboards deverão exibir para cada IC em mau funcionamento quais são as aplicações de negócio (ou outros recursos de usuário) que estão sendo afetados pelo mau-funcionamento, correlacionando causa (ambiente de TI) e efeito (impactos no negócio) em tempo real.</w:t>
      </w:r>
    </w:p>
    <w:p w14:paraId="5E90EED2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Além dos dashboards padrão, a ferramenta deve permitir a criação de dashboards customizados de acordo com as necessidades específicas que venham a surgir.</w:t>
      </w:r>
    </w:p>
    <w:p w14:paraId="7926E499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418"/>
        </w:tabs>
        <w:spacing w:before="12" w:after="24" w:line="300" w:lineRule="auto"/>
        <w:ind w:left="567" w:right="0"/>
        <w:rPr>
          <w:rFonts w:ascii="Bookman Old Style" w:hAnsi="Bookman Old Style" w:cs="Arial"/>
          <w:szCs w:val="24"/>
          <w:u w:val="single"/>
        </w:rPr>
      </w:pPr>
      <w:r w:rsidRPr="00266D72">
        <w:rPr>
          <w:rFonts w:ascii="Bookman Old Style" w:hAnsi="Bookman Old Style" w:cs="Arial"/>
          <w:szCs w:val="24"/>
          <w:u w:val="single"/>
        </w:rPr>
        <w:t>No escopo da auditoria de configurações</w:t>
      </w:r>
    </w:p>
    <w:p w14:paraId="641CBA84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automaticamente passar a auditar configurações dos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que forem cadastrados na CMDB e selecionados para a auditoria, precisando, portanto, possuir “plugins” que realizem as capturas das configurações dos elementos definidos.</w:t>
      </w:r>
    </w:p>
    <w:p w14:paraId="3D2C3A63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A ferramenta deverá auditar as configurações sensíveis de cada um dos tipos de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definidos nos requisitos, cumprindo todas as necessidades que permitam aos usuários da ferramenta possuir as </w:t>
      </w:r>
      <w:r w:rsidRPr="00266D72">
        <w:rPr>
          <w:rFonts w:ascii="Bookman Old Style" w:hAnsi="Bookman Old Style" w:cs="Arial"/>
          <w:szCs w:val="24"/>
        </w:rPr>
        <w:lastRenderedPageBreak/>
        <w:t>informações necessárias para definir se as configurações sensíveis do IC foram alteradas.</w:t>
      </w:r>
    </w:p>
    <w:p w14:paraId="64C8B909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 manter históricos das mudanças nas configurações de cada IC, por tempo configurável pelos usuários do sistema e sem restrições de tempo.</w:t>
      </w:r>
    </w:p>
    <w:p w14:paraId="036F7CA5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 ser possível ativar alertas de mudança para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críticos da infraestrutura para quando sofrerem mudanças um grupo específico de usuários ser alertado via e-mail e interface da aplicação.</w:t>
      </w:r>
    </w:p>
    <w:p w14:paraId="670D686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Deverá possibilitar a pesquisa, por IC, do histórico de mudanças em uma linha de tempo, mostrando configuração por configuração alterada ao longo do tempo.</w:t>
      </w:r>
    </w:p>
    <w:p w14:paraId="086B4CE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Deverá possibilitar que se possa visualizar, por IC ou aplicação (ou qualquer recurso oferecido aos usuários), o histórico de mudanças em todos os </w:t>
      </w:r>
      <w:proofErr w:type="spellStart"/>
      <w:r w:rsidRPr="00266D72">
        <w:rPr>
          <w:rFonts w:ascii="Bookman Old Style" w:hAnsi="Bookman Old Style" w:cs="Arial"/>
          <w:szCs w:val="24"/>
        </w:rPr>
        <w:t>ICs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dos quais ele depende, criando uma linha de tempo de mudanças que podem ter afetado a aplicação indiretamente ao longo tempo em toda sua infraestrutura de sustentação.</w:t>
      </w:r>
    </w:p>
    <w:p w14:paraId="1771FBB5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As configurações capturadas no ambiente deverão complementar a documentação de cada IC, podendo serem usadas como filtros nos relatórios e painéis gerados.</w:t>
      </w:r>
    </w:p>
    <w:p w14:paraId="0AD214AA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418"/>
        </w:tabs>
        <w:spacing w:before="12" w:after="24" w:line="300" w:lineRule="auto"/>
        <w:ind w:left="567" w:right="0"/>
        <w:rPr>
          <w:rFonts w:ascii="Bookman Old Style" w:hAnsi="Bookman Old Style" w:cs="Arial"/>
          <w:szCs w:val="24"/>
          <w:u w:val="single"/>
        </w:rPr>
      </w:pPr>
      <w:r w:rsidRPr="00266D72">
        <w:rPr>
          <w:rFonts w:ascii="Bookman Old Style" w:hAnsi="Bookman Old Style" w:cs="Arial"/>
          <w:szCs w:val="24"/>
          <w:u w:val="single"/>
        </w:rPr>
        <w:t>No escopo do catálogo de serviços e análise de impactos e dependências</w:t>
      </w:r>
    </w:p>
    <w:p w14:paraId="386F834B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Suporte à definição dos atributos mínimos para cada item do catálogo de serviços:</w:t>
      </w:r>
    </w:p>
    <w:p w14:paraId="290C9D4E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Tempo Máximo de Recuperação (RTO): Tempo máximo tolerado de recuperação em caso de falha para um recurso ou tarefa de negócio apoiada pelo recurso;</w:t>
      </w:r>
    </w:p>
    <w:p w14:paraId="63FB70A2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Tempo Máximo entre Backups Completos (RPO): Tempo máximo para que se possua cópias consistentes dos dados relacionados a um determinado recurso oferecido aos usuários ou tarefa de negócio apoiada por esse recurso;</w:t>
      </w:r>
    </w:p>
    <w:p w14:paraId="401CD2A4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Definição do custo por hora de cada serviço afetado dentro do catálogo;</w:t>
      </w:r>
    </w:p>
    <w:p w14:paraId="2CC9A49D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Definição do valor de multas por hora de um serviço parado;</w:t>
      </w:r>
    </w:p>
    <w:p w14:paraId="4EBCD601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Definição de valor de faturamento perdido por hora parado.</w:t>
      </w:r>
    </w:p>
    <w:p w14:paraId="3D6ABC54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lastRenderedPageBreak/>
        <w:t>Possibilidade de simulação de dependências para qualquer serviço ou elemento de TI com identificação dos Itens de Configuração que podem causar a falha do serviço ou item de configuração.</w:t>
      </w:r>
    </w:p>
    <w:p w14:paraId="42C7C5CC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Possibilidade de simulação de impactos para qualquer Item de Configuração do ambiente, com identificação do Recurso de usuário afetado, dos grupos de usuários afetados, do tempo máximo de recuperação para o Item de Configuração para o qual for simulado o impacto, baseado no menor tempo de recuperação entre os serviços afetados.</w:t>
      </w:r>
    </w:p>
    <w:p w14:paraId="04FBF070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 xml:space="preserve">Possibilidade de Identificação dos Single Points </w:t>
      </w:r>
      <w:proofErr w:type="spellStart"/>
      <w:r w:rsidRPr="00266D72">
        <w:rPr>
          <w:rFonts w:ascii="Bookman Old Style" w:hAnsi="Bookman Old Style" w:cs="Arial"/>
          <w:szCs w:val="24"/>
        </w:rPr>
        <w:t>of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</w:t>
      </w:r>
      <w:proofErr w:type="spellStart"/>
      <w:r w:rsidRPr="00266D72">
        <w:rPr>
          <w:rFonts w:ascii="Bookman Old Style" w:hAnsi="Bookman Old Style" w:cs="Arial"/>
          <w:szCs w:val="24"/>
        </w:rPr>
        <w:t>Failures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(</w:t>
      </w:r>
      <w:proofErr w:type="spellStart"/>
      <w:r w:rsidRPr="00266D72">
        <w:rPr>
          <w:rFonts w:ascii="Bookman Old Style" w:hAnsi="Bookman Old Style" w:cs="Arial"/>
          <w:szCs w:val="24"/>
        </w:rPr>
        <w:t>SPFs</w:t>
      </w:r>
      <w:proofErr w:type="spellEnd"/>
      <w:r w:rsidRPr="00266D72">
        <w:rPr>
          <w:rFonts w:ascii="Bookman Old Style" w:hAnsi="Bookman Old Style" w:cs="Arial"/>
          <w:szCs w:val="24"/>
        </w:rPr>
        <w:t>) de um serviço, que são os itens de configuração que potencialmente podem causara falhas no serviço caso falhem, individualmente.</w:t>
      </w:r>
    </w:p>
    <w:p w14:paraId="5043BD8C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Criação de estatísticas de disponibilidade por cada item do catálogo de serviços.</w:t>
      </w:r>
    </w:p>
    <w:p w14:paraId="51CB7AED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Deve possuir uma tela integrada ao monitoramento de disponibilidade que identifica a causa raiz de uma falha, os serviços afetados, o tempo restante para atingir o tempo máximo admitido para recuperação (RTO) e os responsáveis pela recuperação da falha.</w:t>
      </w:r>
    </w:p>
    <w:p w14:paraId="0637B27D" w14:textId="77777777" w:rsidR="004A597D" w:rsidRPr="00266D72" w:rsidRDefault="004A597D" w:rsidP="004A597D">
      <w:pPr>
        <w:pStyle w:val="Recuodecorpodetexto2"/>
        <w:numPr>
          <w:ilvl w:val="2"/>
          <w:numId w:val="7"/>
        </w:numPr>
        <w:tabs>
          <w:tab w:val="left" w:pos="1418"/>
        </w:tabs>
        <w:spacing w:before="12" w:after="24" w:line="300" w:lineRule="auto"/>
        <w:ind w:left="567" w:right="0"/>
        <w:rPr>
          <w:rFonts w:ascii="Bookman Old Style" w:hAnsi="Bookman Old Style" w:cs="Arial"/>
          <w:szCs w:val="24"/>
          <w:u w:val="single"/>
        </w:rPr>
      </w:pPr>
      <w:r w:rsidRPr="00266D72">
        <w:rPr>
          <w:rFonts w:ascii="Bookman Old Style" w:hAnsi="Bookman Old Style" w:cs="Arial"/>
          <w:szCs w:val="24"/>
          <w:u w:val="single"/>
        </w:rPr>
        <w:t>No escopo da automatização da criação de catálogos para aplicações</w:t>
      </w:r>
    </w:p>
    <w:p w14:paraId="21C71777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Suportar aplicações com as seguintes linguagens e tecnologias:</w:t>
      </w:r>
    </w:p>
    <w:p w14:paraId="6DDBF097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ASP</w:t>
      </w:r>
    </w:p>
    <w:p w14:paraId="29A9D22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Java</w:t>
      </w:r>
    </w:p>
    <w:p w14:paraId="72F11C54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Python</w:t>
      </w:r>
    </w:p>
    <w:p w14:paraId="26D8B8C1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Identificar no mínimo os seguintes tipos de Elementos:</w:t>
      </w:r>
    </w:p>
    <w:p w14:paraId="63348FDD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Bases (</w:t>
      </w:r>
      <w:proofErr w:type="spellStart"/>
      <w:r w:rsidRPr="00266D72">
        <w:rPr>
          <w:rFonts w:ascii="Bookman Old Style" w:hAnsi="Bookman Old Style" w:cs="Arial"/>
          <w:szCs w:val="24"/>
        </w:rPr>
        <w:t>schemas</w:t>
      </w:r>
      <w:proofErr w:type="spellEnd"/>
      <w:r w:rsidRPr="00266D72">
        <w:rPr>
          <w:rFonts w:ascii="Bookman Old Style" w:hAnsi="Bookman Old Style" w:cs="Arial"/>
          <w:szCs w:val="24"/>
        </w:rPr>
        <w:t xml:space="preserve"> ou </w:t>
      </w:r>
      <w:proofErr w:type="spellStart"/>
      <w:r w:rsidRPr="00266D72">
        <w:rPr>
          <w:rFonts w:ascii="Bookman Old Style" w:hAnsi="Bookman Old Style" w:cs="Arial"/>
          <w:szCs w:val="24"/>
        </w:rPr>
        <w:t>databases</w:t>
      </w:r>
      <w:proofErr w:type="spellEnd"/>
      <w:r w:rsidRPr="00266D72">
        <w:rPr>
          <w:rFonts w:ascii="Bookman Old Style" w:hAnsi="Bookman Old Style" w:cs="Arial"/>
          <w:szCs w:val="24"/>
        </w:rPr>
        <w:t>) de dados em Bancos de Dados Relacionais</w:t>
      </w:r>
    </w:p>
    <w:p w14:paraId="7280039F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Webservices e outras aplicações web consultadas</w:t>
      </w:r>
    </w:p>
    <w:p w14:paraId="3417F202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Sockets de rede consultados;</w:t>
      </w:r>
    </w:p>
    <w:p w14:paraId="15AC0B53" w14:textId="77777777" w:rsidR="004A597D" w:rsidRPr="00266D72" w:rsidRDefault="004A597D" w:rsidP="004A597D">
      <w:pPr>
        <w:pStyle w:val="Recuodecorpodetexto2"/>
        <w:numPr>
          <w:ilvl w:val="4"/>
          <w:numId w:val="7"/>
        </w:numPr>
        <w:tabs>
          <w:tab w:val="left" w:pos="1418"/>
        </w:tabs>
        <w:spacing w:before="12" w:after="24" w:line="300" w:lineRule="auto"/>
        <w:ind w:left="851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Processos (executáveis em execução) locais e remotos com os quais a aplicação troca informação.</w:t>
      </w:r>
    </w:p>
    <w:p w14:paraId="043B2568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t>Criar e manter sempre atualizado as referências de dependências entre a aplicação e Itens de Configuração do ambiente, baseado no comportamento efetivo da aplicação, inserindo dependências ativas e excluindo dependências que deixaram de existir ao longo do tempo, sem interação do usuário.</w:t>
      </w:r>
    </w:p>
    <w:p w14:paraId="6C16A75F" w14:textId="77777777" w:rsidR="004A597D" w:rsidRPr="00266D72" w:rsidRDefault="004A597D" w:rsidP="004A597D">
      <w:pPr>
        <w:pStyle w:val="Recuodecorpodetexto2"/>
        <w:numPr>
          <w:ilvl w:val="3"/>
          <w:numId w:val="7"/>
        </w:numPr>
        <w:tabs>
          <w:tab w:val="left" w:pos="1418"/>
        </w:tabs>
        <w:spacing w:before="12" w:after="24" w:line="300" w:lineRule="auto"/>
        <w:ind w:left="709" w:right="0"/>
        <w:rPr>
          <w:rFonts w:ascii="Bookman Old Style" w:hAnsi="Bookman Old Style" w:cs="Arial"/>
          <w:szCs w:val="24"/>
        </w:rPr>
      </w:pPr>
      <w:r w:rsidRPr="00266D72">
        <w:rPr>
          <w:rFonts w:ascii="Bookman Old Style" w:hAnsi="Bookman Old Style" w:cs="Arial"/>
          <w:szCs w:val="24"/>
        </w:rPr>
        <w:lastRenderedPageBreak/>
        <w:t>Os dados deverão alimentar a mesma informação de catálogo de serviços definido nos requisitos desse escopo.</w:t>
      </w:r>
    </w:p>
    <w:p w14:paraId="378603EA" w14:textId="2A22062C" w:rsidR="004A597D" w:rsidRPr="00266D72" w:rsidRDefault="004A597D" w:rsidP="004A597D">
      <w:pPr>
        <w:spacing w:after="0" w:line="360" w:lineRule="auto"/>
        <w:jc w:val="both"/>
        <w:rPr>
          <w:rFonts w:ascii="Bookman Old Style" w:eastAsia="Arial" w:hAnsi="Bookman Old Style" w:cstheme="minorHAnsi"/>
          <w:color w:val="000000" w:themeColor="text1"/>
          <w:sz w:val="24"/>
          <w:szCs w:val="24"/>
        </w:rPr>
      </w:pPr>
    </w:p>
    <w:p w14:paraId="76539C39" w14:textId="009D3989" w:rsidR="00266D72" w:rsidRPr="00266D72" w:rsidRDefault="00266D72">
      <w:pPr>
        <w:rPr>
          <w:rFonts w:ascii="Bookman Old Style" w:eastAsia="Arial" w:hAnsi="Bookman Old Style" w:cstheme="minorHAnsi"/>
          <w:color w:val="000000" w:themeColor="text1"/>
          <w:sz w:val="24"/>
          <w:szCs w:val="24"/>
        </w:rPr>
      </w:pPr>
      <w:r w:rsidRPr="00266D72">
        <w:rPr>
          <w:rFonts w:ascii="Bookman Old Style" w:eastAsia="Arial" w:hAnsi="Bookman Old Style" w:cstheme="minorHAnsi"/>
          <w:color w:val="000000" w:themeColor="text1"/>
          <w:sz w:val="24"/>
          <w:szCs w:val="24"/>
        </w:rPr>
        <w:br w:type="page"/>
      </w:r>
    </w:p>
    <w:p w14:paraId="7B4BE8BA" w14:textId="77777777" w:rsidR="00266D72" w:rsidRPr="00266D72" w:rsidRDefault="00266D72" w:rsidP="00266D72">
      <w:pPr>
        <w:pStyle w:val="Ttulo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19"/>
        <w:rPr>
          <w:sz w:val="24"/>
          <w:szCs w:val="24"/>
        </w:rPr>
      </w:pPr>
      <w:r w:rsidRPr="00266D72">
        <w:rPr>
          <w:sz w:val="24"/>
          <w:szCs w:val="24"/>
        </w:rPr>
        <w:lastRenderedPageBreak/>
        <w:t>ANEXO I</w:t>
      </w:r>
    </w:p>
    <w:p w14:paraId="2A2C2C88" w14:textId="77777777" w:rsidR="00266D72" w:rsidRPr="00266D72" w:rsidRDefault="00266D72" w:rsidP="00266D72">
      <w:pPr>
        <w:pStyle w:val="Ttulo2"/>
        <w:ind w:right="77"/>
        <w:rPr>
          <w:szCs w:val="24"/>
        </w:rPr>
      </w:pPr>
      <w:r w:rsidRPr="00266D72">
        <w:rPr>
          <w:szCs w:val="24"/>
        </w:rPr>
        <w:t>DESCRIÇÃO DO AMBIENTE</w:t>
      </w:r>
    </w:p>
    <w:tbl>
      <w:tblPr>
        <w:tblStyle w:val="TableGrid"/>
        <w:tblW w:w="8789" w:type="dxa"/>
        <w:tblInd w:w="137" w:type="dxa"/>
        <w:tblCellMar>
          <w:top w:w="7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080"/>
        <w:gridCol w:w="4709"/>
      </w:tblGrid>
      <w:tr w:rsidR="00266D72" w:rsidRPr="00266D72" w14:paraId="6F26362D" w14:textId="77777777" w:rsidTr="00266D72">
        <w:trPr>
          <w:trHeight w:val="458"/>
        </w:trPr>
        <w:tc>
          <w:tcPr>
            <w:tcW w:w="4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B53080" w14:textId="77777777" w:rsidR="00266D72" w:rsidRPr="00266D72" w:rsidRDefault="00266D72" w:rsidP="0009142D">
            <w:pPr>
              <w:spacing w:line="259" w:lineRule="auto"/>
              <w:ind w:left="3197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>1.</w:t>
            </w:r>
            <w:r w:rsidRPr="00266D72">
              <w:rPr>
                <w:rFonts w:ascii="Bookman Old Style" w:eastAsia="Arial" w:hAnsi="Bookman Old Style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128932" w14:textId="77777777" w:rsidR="00266D72" w:rsidRPr="00266D72" w:rsidRDefault="00266D72" w:rsidP="0009142D">
            <w:pPr>
              <w:spacing w:line="259" w:lineRule="auto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 xml:space="preserve">AMBIENTES </w:t>
            </w:r>
          </w:p>
        </w:tc>
      </w:tr>
    </w:tbl>
    <w:p w14:paraId="27F955A9" w14:textId="77777777" w:rsidR="00266D72" w:rsidRPr="00266D72" w:rsidRDefault="00266D72" w:rsidP="00266D72">
      <w:pPr>
        <w:tabs>
          <w:tab w:val="center" w:pos="4459"/>
        </w:tabs>
        <w:ind w:left="142" w:right="140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1.1.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O BADESUL possui os seguintes ambientes de sistemas: </w:t>
      </w:r>
    </w:p>
    <w:p w14:paraId="2357EADF" w14:textId="77777777" w:rsidR="00266D72" w:rsidRPr="00266D72" w:rsidRDefault="00266D72" w:rsidP="00266D72">
      <w:pPr>
        <w:ind w:left="142" w:right="140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1.1.1.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Bookman Old Style" w:hAnsi="Bookman Old Style" w:cs="Bookman Old Style"/>
          <w:b/>
          <w:sz w:val="24"/>
          <w:szCs w:val="24"/>
        </w:rPr>
        <w:t>Ambiente de Desenvolvimento</w:t>
      </w:r>
      <w:r w:rsidRPr="00266D72">
        <w:rPr>
          <w:rFonts w:ascii="Bookman Old Style" w:hAnsi="Bookman Old Style"/>
          <w:sz w:val="24"/>
          <w:szCs w:val="24"/>
        </w:rPr>
        <w:t xml:space="preserve">: Ambiente de desenvolvimento e manutenção de sistemas de informação. O seu funcionamento tem por base o controle de versão de produtos por meio de ferramenta específica do tipo SVN. </w:t>
      </w:r>
    </w:p>
    <w:p w14:paraId="7EDA2282" w14:textId="77777777" w:rsidR="00266D72" w:rsidRPr="00266D72" w:rsidRDefault="00266D72" w:rsidP="00266D72">
      <w:pPr>
        <w:ind w:left="142" w:right="140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1.1.2.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Bookman Old Style" w:hAnsi="Bookman Old Style" w:cs="Bookman Old Style"/>
          <w:b/>
          <w:sz w:val="24"/>
          <w:szCs w:val="24"/>
        </w:rPr>
        <w:t>Ambiente de Homologação</w:t>
      </w:r>
      <w:r w:rsidRPr="00266D72">
        <w:rPr>
          <w:rFonts w:ascii="Bookman Old Style" w:hAnsi="Bookman Old Style"/>
          <w:sz w:val="24"/>
          <w:szCs w:val="24"/>
        </w:rPr>
        <w:t xml:space="preserve">: Ambiente que permite os testes necessários por parte da área gestora/demandante da aplicação para o seu devido aceite. O seu funcionamento tem por base a não edição de arquivos para correção neste ambiente, pois todo processo de correção deve ocorrer no Ambiente de Desenvolvimento. </w:t>
      </w:r>
    </w:p>
    <w:p w14:paraId="116AC998" w14:textId="77777777" w:rsidR="00266D72" w:rsidRPr="00266D72" w:rsidRDefault="00266D72" w:rsidP="00266D72">
      <w:pPr>
        <w:spacing w:after="56" w:line="286" w:lineRule="auto"/>
        <w:ind w:left="142" w:right="140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1.1.3.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 </w:t>
      </w:r>
      <w:r w:rsidRPr="00266D72">
        <w:rPr>
          <w:rFonts w:ascii="Bookman Old Style" w:eastAsia="Bookman Old Style" w:hAnsi="Bookman Old Style" w:cs="Bookman Old Style"/>
          <w:b/>
          <w:sz w:val="24"/>
          <w:szCs w:val="24"/>
        </w:rPr>
        <w:t>Ambiente de Testes</w:t>
      </w:r>
      <w:r w:rsidRPr="00266D72">
        <w:rPr>
          <w:rFonts w:ascii="Bookman Old Style" w:hAnsi="Bookman Old Style"/>
          <w:sz w:val="24"/>
          <w:szCs w:val="24"/>
        </w:rPr>
        <w:t xml:space="preserve">: Cópia do ambiente de Produção que é utilizado para verificações, testes e correções de erros críticos encontrados em produção. </w:t>
      </w:r>
    </w:p>
    <w:p w14:paraId="48C48324" w14:textId="77777777" w:rsidR="00266D72" w:rsidRPr="00266D72" w:rsidRDefault="00266D72" w:rsidP="00266D72">
      <w:pPr>
        <w:spacing w:after="0"/>
        <w:ind w:left="142" w:right="140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1.1.4.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Bookman Old Style" w:hAnsi="Bookman Old Style" w:cs="Bookman Old Style"/>
          <w:b/>
          <w:sz w:val="24"/>
          <w:szCs w:val="24"/>
        </w:rPr>
        <w:t>Ambiente de Produção</w:t>
      </w:r>
      <w:r w:rsidRPr="00266D72">
        <w:rPr>
          <w:rFonts w:ascii="Bookman Old Style" w:hAnsi="Bookman Old Style"/>
          <w:sz w:val="24"/>
          <w:szCs w:val="24"/>
        </w:rPr>
        <w:t xml:space="preserve">: Ambiente que hospeda as aplicações em produção no BADESUL. O seu funcionamento tem por base a hospedagem somente das aplicações homologadas. </w:t>
      </w:r>
    </w:p>
    <w:p w14:paraId="35E7DB63" w14:textId="77777777" w:rsidR="00266D72" w:rsidRPr="00266D72" w:rsidRDefault="00266D72" w:rsidP="00266D72">
      <w:pPr>
        <w:spacing w:after="0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tbl>
      <w:tblPr>
        <w:tblStyle w:val="TableGrid"/>
        <w:tblW w:w="8897" w:type="dxa"/>
        <w:tblInd w:w="-113" w:type="dxa"/>
        <w:tblCellMar>
          <w:top w:w="7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3"/>
        <w:gridCol w:w="4504"/>
      </w:tblGrid>
      <w:tr w:rsidR="00266D72" w:rsidRPr="00266D72" w14:paraId="4847DFFE" w14:textId="77777777" w:rsidTr="00266D72">
        <w:trPr>
          <w:trHeight w:val="458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D8409B" w14:textId="77777777" w:rsidR="00266D72" w:rsidRPr="00266D72" w:rsidRDefault="00266D72" w:rsidP="0009142D">
            <w:pPr>
              <w:spacing w:line="259" w:lineRule="auto"/>
              <w:ind w:left="3260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>2.</w:t>
            </w:r>
            <w:r w:rsidRPr="00266D72">
              <w:rPr>
                <w:rFonts w:ascii="Bookman Old Style" w:eastAsia="Arial" w:hAnsi="Bookman Old Style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5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333367" w14:textId="77777777" w:rsidR="00266D72" w:rsidRPr="00266D72" w:rsidRDefault="00266D72" w:rsidP="0009142D">
            <w:pPr>
              <w:spacing w:line="259" w:lineRule="auto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 xml:space="preserve">RECURSOS </w:t>
            </w:r>
          </w:p>
        </w:tc>
      </w:tr>
    </w:tbl>
    <w:p w14:paraId="0868EA92" w14:textId="77777777" w:rsidR="00266D72" w:rsidRPr="00266D72" w:rsidRDefault="00266D72" w:rsidP="00266D72">
      <w:pPr>
        <w:tabs>
          <w:tab w:val="center" w:pos="2508"/>
        </w:tabs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2.1.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Sistemas Operacionais: </w:t>
      </w:r>
    </w:p>
    <w:p w14:paraId="3BFB879B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Linux CentOS 6.6; </w:t>
      </w:r>
    </w:p>
    <w:p w14:paraId="3B8E115D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Linux CentOS 6.8; </w:t>
      </w:r>
    </w:p>
    <w:p w14:paraId="543CDE4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Linux CentOS 6.9; </w:t>
      </w:r>
    </w:p>
    <w:p w14:paraId="3E27F3D4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Linux CentOS 7.0; </w:t>
      </w:r>
    </w:p>
    <w:p w14:paraId="1DC1E209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Server 2008 R2; </w:t>
      </w:r>
    </w:p>
    <w:p w14:paraId="32093AD4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Server 2016 Standard; </w:t>
      </w:r>
    </w:p>
    <w:p w14:paraId="27229C67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Server 2012 Server Core Standard; </w:t>
      </w:r>
    </w:p>
    <w:p w14:paraId="75D6D689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Server 2019 Standard; </w:t>
      </w:r>
    </w:p>
    <w:p w14:paraId="4DF12BAC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7 Profissional; </w:t>
      </w:r>
    </w:p>
    <w:p w14:paraId="3825408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10 Profissional; </w:t>
      </w:r>
    </w:p>
    <w:p w14:paraId="082922C2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Windows 10 Enterprise; </w:t>
      </w:r>
    </w:p>
    <w:p w14:paraId="2D272A4B" w14:textId="77777777" w:rsidR="00266D72" w:rsidRPr="00266D72" w:rsidRDefault="00266D72" w:rsidP="00266D72">
      <w:pPr>
        <w:spacing w:after="148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528E5377" w14:textId="77777777" w:rsidR="00266D72" w:rsidRPr="00266D72" w:rsidRDefault="00266D72" w:rsidP="00266D72">
      <w:pPr>
        <w:tabs>
          <w:tab w:val="center" w:pos="1949"/>
        </w:tabs>
        <w:spacing w:after="60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2.2.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Servidor Web: </w:t>
      </w:r>
    </w:p>
    <w:p w14:paraId="3924DC5D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lastRenderedPageBreak/>
        <w:t>TomCat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5626B759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JBoss; </w:t>
      </w:r>
    </w:p>
    <w:p w14:paraId="2654A9D3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Nginx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1903CAFD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MS Internet </w:t>
      </w:r>
      <w:proofErr w:type="spellStart"/>
      <w:r w:rsidRPr="00266D72">
        <w:rPr>
          <w:rFonts w:ascii="Bookman Old Style" w:hAnsi="Bookman Old Style"/>
          <w:sz w:val="24"/>
          <w:szCs w:val="24"/>
        </w:rPr>
        <w:t>Information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Service (IIS); </w:t>
      </w:r>
    </w:p>
    <w:p w14:paraId="418EFC64" w14:textId="77777777" w:rsidR="00266D72" w:rsidRPr="00266D72" w:rsidRDefault="00266D72" w:rsidP="00266D72">
      <w:pPr>
        <w:spacing w:after="148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25754FD0" w14:textId="77777777" w:rsidR="00266D72" w:rsidRPr="00266D72" w:rsidRDefault="00266D72" w:rsidP="00266D72">
      <w:pPr>
        <w:tabs>
          <w:tab w:val="center" w:pos="1901"/>
        </w:tabs>
        <w:spacing w:after="62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2.3.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Virtualização </w:t>
      </w:r>
    </w:p>
    <w:p w14:paraId="20839CFB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Hyper</w:t>
      </w:r>
      <w:proofErr w:type="spellEnd"/>
      <w:r w:rsidRPr="00266D72">
        <w:rPr>
          <w:rFonts w:ascii="Bookman Old Style" w:hAnsi="Bookman Old Style"/>
          <w:sz w:val="24"/>
          <w:szCs w:val="24"/>
        </w:rPr>
        <w:t>-V Datacenter Cluster-</w:t>
      </w:r>
      <w:proofErr w:type="spellStart"/>
      <w:r w:rsidRPr="00266D72">
        <w:rPr>
          <w:rFonts w:ascii="Bookman Old Style" w:hAnsi="Bookman Old Style"/>
          <w:sz w:val="24"/>
          <w:szCs w:val="24"/>
        </w:rPr>
        <w:t>Failover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742A086C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Hyper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-V Standard; </w:t>
      </w:r>
    </w:p>
    <w:p w14:paraId="0B91FCC4" w14:textId="77777777" w:rsidR="00266D72" w:rsidRPr="00266D72" w:rsidRDefault="00266D72" w:rsidP="00266D72">
      <w:pPr>
        <w:spacing w:after="149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7A9AA379" w14:textId="77777777" w:rsidR="00266D72" w:rsidRPr="00266D72" w:rsidRDefault="00266D72" w:rsidP="00266D72">
      <w:pPr>
        <w:tabs>
          <w:tab w:val="center" w:pos="2753"/>
        </w:tabs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2.4.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Linguagem de Programação </w:t>
      </w:r>
    </w:p>
    <w:p w14:paraId="197E429C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Zim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1BCE12A5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Java; </w:t>
      </w:r>
    </w:p>
    <w:p w14:paraId="4BAE11B7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ASP; </w:t>
      </w:r>
    </w:p>
    <w:p w14:paraId="6FEA882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JavaScript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1375FE83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VB (</w:t>
      </w:r>
      <w:proofErr w:type="spellStart"/>
      <w:r w:rsidRPr="00266D72">
        <w:rPr>
          <w:rFonts w:ascii="Bookman Old Style" w:hAnsi="Bookman Old Style"/>
          <w:sz w:val="24"/>
          <w:szCs w:val="24"/>
        </w:rPr>
        <w:t>VisualBasic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); </w:t>
      </w:r>
    </w:p>
    <w:p w14:paraId="30B19FDD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VBScript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294EA493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VBA (Visual Basic for </w:t>
      </w:r>
      <w:proofErr w:type="spellStart"/>
      <w:r w:rsidRPr="00266D72">
        <w:rPr>
          <w:rFonts w:ascii="Bookman Old Style" w:hAnsi="Bookman Old Style"/>
          <w:sz w:val="24"/>
          <w:szCs w:val="24"/>
        </w:rPr>
        <w:t>Application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); </w:t>
      </w:r>
    </w:p>
    <w:p w14:paraId="490C5339" w14:textId="77777777" w:rsidR="00266D72" w:rsidRPr="00266D72" w:rsidRDefault="00266D72" w:rsidP="00266D72">
      <w:pPr>
        <w:spacing w:after="9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78E197E8" w14:textId="77777777" w:rsidR="00266D72" w:rsidRPr="00266D72" w:rsidRDefault="00266D72" w:rsidP="00266D72">
      <w:pPr>
        <w:tabs>
          <w:tab w:val="center" w:pos="3595"/>
        </w:tabs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2.5.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Frameworks, Tecnologias e Componentes: </w:t>
      </w:r>
    </w:p>
    <w:p w14:paraId="018D9632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Hibernate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</w:t>
      </w:r>
      <w:proofErr w:type="spellStart"/>
      <w:r w:rsidRPr="00266D72">
        <w:rPr>
          <w:rFonts w:ascii="Bookman Old Style" w:hAnsi="Bookman Old Style"/>
          <w:sz w:val="24"/>
          <w:szCs w:val="24"/>
        </w:rPr>
        <w:t>framewok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); </w:t>
      </w:r>
    </w:p>
    <w:p w14:paraId="2FC7B9D5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Spring (framework); </w:t>
      </w:r>
    </w:p>
    <w:p w14:paraId="1C30E6AA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MS Sharepoint 2016; </w:t>
      </w:r>
    </w:p>
    <w:p w14:paraId="1B0DD54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Richfaces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(biblioteca de componentes); </w:t>
      </w:r>
    </w:p>
    <w:p w14:paraId="7CBBA18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Primefaces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(biblioteca de componentes); </w:t>
      </w:r>
    </w:p>
    <w:p w14:paraId="453097FD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AngularJS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(framework); </w:t>
      </w:r>
    </w:p>
    <w:p w14:paraId="7443A258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Knockout JS (biblioteca); </w:t>
      </w:r>
    </w:p>
    <w:p w14:paraId="61B7F736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JDBI (framework); </w:t>
      </w:r>
    </w:p>
    <w:p w14:paraId="6993CC86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Liquibase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(framework); </w:t>
      </w:r>
    </w:p>
    <w:p w14:paraId="661A1ED3" w14:textId="77777777" w:rsidR="00266D72" w:rsidRPr="00266D72" w:rsidRDefault="00266D72" w:rsidP="00266D72">
      <w:pPr>
        <w:spacing w:after="9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131D5EF2" w14:textId="77777777" w:rsidR="00266D72" w:rsidRPr="00266D72" w:rsidRDefault="00266D72" w:rsidP="00266D72">
      <w:pPr>
        <w:tabs>
          <w:tab w:val="center" w:pos="3605"/>
        </w:tabs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2.6.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Ferramenta de Desenvolvimento e Gestão: </w:t>
      </w:r>
    </w:p>
    <w:p w14:paraId="68D018AB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ZIM; </w:t>
      </w:r>
    </w:p>
    <w:p w14:paraId="124F3F27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Eclipse; </w:t>
      </w:r>
    </w:p>
    <w:p w14:paraId="05366548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lastRenderedPageBreak/>
        <w:t>Redmine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(gestão de demandas e projetos); </w:t>
      </w:r>
    </w:p>
    <w:p w14:paraId="12D831C8" w14:textId="77777777" w:rsidR="00266D72" w:rsidRPr="00266D72" w:rsidRDefault="00266D72" w:rsidP="00266D72">
      <w:pPr>
        <w:spacing w:after="148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0AFA8918" w14:textId="77777777" w:rsidR="00266D72" w:rsidRPr="00266D72" w:rsidRDefault="00266D72" w:rsidP="00266D72">
      <w:pPr>
        <w:tabs>
          <w:tab w:val="center" w:pos="2122"/>
        </w:tabs>
        <w:spacing w:after="60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2.7.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Banco de Dados: </w:t>
      </w:r>
    </w:p>
    <w:p w14:paraId="486A237A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MYSQL; </w:t>
      </w:r>
    </w:p>
    <w:p w14:paraId="2ADFDD48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MariaDB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6938E474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Microsoft SQL Server 2012 ou Superior; </w:t>
      </w:r>
    </w:p>
    <w:p w14:paraId="46A1130D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PostgreSQL; </w:t>
      </w:r>
    </w:p>
    <w:p w14:paraId="2C64BC8E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ZIM; </w:t>
      </w:r>
    </w:p>
    <w:p w14:paraId="2FA25D77" w14:textId="77777777" w:rsidR="00266D72" w:rsidRPr="00266D72" w:rsidRDefault="00266D72" w:rsidP="00266D72">
      <w:pPr>
        <w:spacing w:after="88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02E87BD2" w14:textId="77777777" w:rsidR="00266D72" w:rsidRPr="00266D72" w:rsidRDefault="00266D72" w:rsidP="00266D72">
      <w:pPr>
        <w:tabs>
          <w:tab w:val="center" w:pos="2006"/>
        </w:tabs>
        <w:spacing w:after="62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2.8.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Infraestrutura: </w:t>
      </w:r>
    </w:p>
    <w:p w14:paraId="2BE2D5BF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proofErr w:type="spellStart"/>
      <w:r w:rsidRPr="00266D72">
        <w:rPr>
          <w:rFonts w:ascii="Bookman Old Style" w:hAnsi="Bookman Old Style"/>
          <w:sz w:val="24"/>
          <w:szCs w:val="24"/>
        </w:rPr>
        <w:t>Virtualizador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Pr="00266D72">
        <w:rPr>
          <w:rFonts w:ascii="Bookman Old Style" w:hAnsi="Bookman Old Style"/>
          <w:sz w:val="24"/>
          <w:szCs w:val="24"/>
        </w:rPr>
        <w:t>Hyper</w:t>
      </w:r>
      <w:proofErr w:type="spellEnd"/>
      <w:r w:rsidRPr="00266D72">
        <w:rPr>
          <w:rFonts w:ascii="Bookman Old Style" w:hAnsi="Bookman Old Style"/>
          <w:sz w:val="24"/>
          <w:szCs w:val="24"/>
        </w:rPr>
        <w:t>-v com Cluster-</w:t>
      </w:r>
      <w:proofErr w:type="spellStart"/>
      <w:r w:rsidRPr="00266D72">
        <w:rPr>
          <w:rFonts w:ascii="Bookman Old Style" w:hAnsi="Bookman Old Style"/>
          <w:sz w:val="24"/>
          <w:szCs w:val="24"/>
        </w:rPr>
        <w:t>Failover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; </w:t>
      </w:r>
    </w:p>
    <w:p w14:paraId="382ECB8B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Backup MSDPM; </w:t>
      </w:r>
    </w:p>
    <w:p w14:paraId="76436517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Microsoft System Center; </w:t>
      </w:r>
    </w:p>
    <w:p w14:paraId="128A1C25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Pacote Microsoft 365 E3; </w:t>
      </w:r>
    </w:p>
    <w:p w14:paraId="5766636C" w14:textId="77777777" w:rsidR="00266D72" w:rsidRPr="00266D72" w:rsidRDefault="00266D72" w:rsidP="00266D72">
      <w:pPr>
        <w:numPr>
          <w:ilvl w:val="0"/>
          <w:numId w:val="8"/>
        </w:numPr>
        <w:spacing w:after="4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Microsoft Exchange 2019; </w:t>
      </w:r>
    </w:p>
    <w:p w14:paraId="0E0117FB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Microsoft Active </w:t>
      </w:r>
      <w:proofErr w:type="spellStart"/>
      <w:r w:rsidRPr="00266D72">
        <w:rPr>
          <w:rFonts w:ascii="Bookman Old Style" w:hAnsi="Bookman Old Style"/>
          <w:sz w:val="24"/>
          <w:szCs w:val="24"/>
        </w:rPr>
        <w:t>Directory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2012 R2; </w:t>
      </w:r>
    </w:p>
    <w:p w14:paraId="5B01A151" w14:textId="77777777" w:rsidR="00266D72" w:rsidRPr="00266D72" w:rsidRDefault="00266D72" w:rsidP="00266D72">
      <w:pPr>
        <w:spacing w:after="92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689695E9" w14:textId="77777777" w:rsidR="00266D72" w:rsidRPr="00266D72" w:rsidRDefault="00266D72" w:rsidP="00266D72">
      <w:pPr>
        <w:tabs>
          <w:tab w:val="center" w:pos="2820"/>
        </w:tabs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2.9.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 xml:space="preserve">Ferramenta de Service Desk: </w:t>
      </w:r>
    </w:p>
    <w:p w14:paraId="740204A7" w14:textId="77777777" w:rsidR="00266D72" w:rsidRPr="00266D72" w:rsidRDefault="00266D72" w:rsidP="00266D72">
      <w:pPr>
        <w:numPr>
          <w:ilvl w:val="0"/>
          <w:numId w:val="8"/>
        </w:numPr>
        <w:spacing w:after="0" w:line="306" w:lineRule="auto"/>
        <w:ind w:left="284" w:right="69"/>
        <w:jc w:val="both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OTRS IT/TSM 5s. </w:t>
      </w:r>
    </w:p>
    <w:p w14:paraId="0C7961EC" w14:textId="77777777" w:rsidR="00266D72" w:rsidRPr="00266D72" w:rsidRDefault="00266D72" w:rsidP="00266D72">
      <w:pPr>
        <w:spacing w:after="0"/>
        <w:ind w:left="284"/>
        <w:rPr>
          <w:rFonts w:ascii="Bookman Old Style" w:hAnsi="Bookman Old Style"/>
          <w:sz w:val="24"/>
          <w:szCs w:val="24"/>
        </w:rPr>
      </w:pPr>
    </w:p>
    <w:p w14:paraId="27AE59E7" w14:textId="77777777" w:rsidR="00266D72" w:rsidRPr="00266D72" w:rsidRDefault="00266D72" w:rsidP="00266D72">
      <w:pPr>
        <w:spacing w:after="0"/>
        <w:rPr>
          <w:rFonts w:ascii="Bookman Old Style" w:hAnsi="Bookman Old Style"/>
          <w:sz w:val="24"/>
          <w:szCs w:val="24"/>
        </w:rPr>
      </w:pPr>
    </w:p>
    <w:tbl>
      <w:tblPr>
        <w:tblStyle w:val="TableGrid"/>
        <w:tblW w:w="8789" w:type="dxa"/>
        <w:tblInd w:w="137" w:type="dxa"/>
        <w:tblCellMar>
          <w:top w:w="7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4646"/>
      </w:tblGrid>
      <w:tr w:rsidR="00266D72" w:rsidRPr="00266D72" w14:paraId="4AB1D249" w14:textId="77777777" w:rsidTr="00266D72">
        <w:trPr>
          <w:trHeight w:val="458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BBAB1D" w14:textId="77777777" w:rsidR="00266D72" w:rsidRPr="00266D72" w:rsidRDefault="00266D72" w:rsidP="0009142D">
            <w:pPr>
              <w:spacing w:line="259" w:lineRule="auto"/>
              <w:ind w:left="3260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hAnsi="Bookman Old Style"/>
                <w:b/>
                <w:sz w:val="24"/>
                <w:szCs w:val="24"/>
              </w:rPr>
              <w:t>3</w:t>
            </w: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>.</w:t>
            </w:r>
            <w:r w:rsidRPr="00266D72">
              <w:rPr>
                <w:rFonts w:ascii="Bookman Old Style" w:eastAsia="Arial" w:hAnsi="Bookman Old Style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A05A37" w14:textId="77777777" w:rsidR="00266D72" w:rsidRPr="00266D72" w:rsidRDefault="00266D72" w:rsidP="0009142D">
            <w:pPr>
              <w:spacing w:line="259" w:lineRule="auto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hAnsi="Bookman Old Style"/>
                <w:b/>
                <w:sz w:val="24"/>
                <w:szCs w:val="24"/>
              </w:rPr>
              <w:t>QUANTITATIVOS</w:t>
            </w:r>
          </w:p>
        </w:tc>
      </w:tr>
    </w:tbl>
    <w:p w14:paraId="22DD2059" w14:textId="74E8F503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3.1.</w:t>
      </w:r>
      <w:r w:rsidRPr="00266D7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Pr="00266D72">
        <w:rPr>
          <w:rFonts w:ascii="Bookman Old Style" w:eastAsia="Arial" w:hAnsi="Bookman Old Style" w:cs="Arial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>Servidores:</w:t>
      </w:r>
    </w:p>
    <w:p w14:paraId="182ECA68" w14:textId="77777777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3.1.1.</w:t>
      </w:r>
      <w:r w:rsidRPr="00266D72">
        <w:rPr>
          <w:rFonts w:ascii="Bookman Old Style" w:hAnsi="Bookman Old Style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ab/>
        <w:t>Servidores físicos: 14</w:t>
      </w:r>
    </w:p>
    <w:p w14:paraId="5617A39D" w14:textId="77777777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3.1.2.</w:t>
      </w:r>
      <w:r w:rsidRPr="00266D72">
        <w:rPr>
          <w:rFonts w:ascii="Bookman Old Style" w:hAnsi="Bookman Old Style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ab/>
        <w:t>Servidores virtuais: 85</w:t>
      </w:r>
    </w:p>
    <w:p w14:paraId="63ECA1D6" w14:textId="280C6948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3.2.</w:t>
      </w:r>
      <w:r w:rsidRPr="00266D72">
        <w:rPr>
          <w:rFonts w:ascii="Bookman Old Style" w:hAnsi="Bookman Old Style"/>
          <w:sz w:val="24"/>
          <w:szCs w:val="24"/>
        </w:rPr>
        <w:tab/>
        <w:t>Demais Dispositivos:</w:t>
      </w:r>
    </w:p>
    <w:p w14:paraId="08098CDA" w14:textId="7F2FA5ED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3.2.1. </w:t>
      </w:r>
      <w:r w:rsidRPr="00266D72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>Estações de trabalho: 280</w:t>
      </w:r>
    </w:p>
    <w:p w14:paraId="716D2F34" w14:textId="77777777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3.2.2.</w:t>
      </w:r>
      <w:r w:rsidRPr="00266D72">
        <w:rPr>
          <w:rFonts w:ascii="Bookman Old Style" w:hAnsi="Bookman Old Style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ab/>
        <w:t>Impressoras: 25</w:t>
      </w:r>
    </w:p>
    <w:p w14:paraId="04B8DDF2" w14:textId="61FD6CD5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3.2.3. </w:t>
      </w:r>
      <w:r w:rsidRPr="00266D72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 w:rsidRPr="00266D72">
        <w:rPr>
          <w:rFonts w:ascii="Bookman Old Style" w:hAnsi="Bookman Old Style"/>
          <w:sz w:val="24"/>
          <w:szCs w:val="24"/>
        </w:rPr>
        <w:t>Switchs</w:t>
      </w:r>
      <w:proofErr w:type="spellEnd"/>
      <w:r w:rsidRPr="00266D72">
        <w:rPr>
          <w:rFonts w:ascii="Bookman Old Style" w:hAnsi="Bookman Old Style"/>
          <w:sz w:val="24"/>
          <w:szCs w:val="24"/>
        </w:rPr>
        <w:t xml:space="preserve"> de rede: 23</w:t>
      </w:r>
    </w:p>
    <w:p w14:paraId="432750B9" w14:textId="77777777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3.2.4.</w:t>
      </w:r>
      <w:r w:rsidRPr="00266D72">
        <w:rPr>
          <w:rFonts w:ascii="Bookman Old Style" w:hAnsi="Bookman Old Style"/>
          <w:sz w:val="24"/>
          <w:szCs w:val="24"/>
        </w:rPr>
        <w:tab/>
      </w:r>
      <w:r w:rsidRPr="00266D72">
        <w:rPr>
          <w:rFonts w:ascii="Bookman Old Style" w:hAnsi="Bookman Old Style"/>
          <w:sz w:val="24"/>
          <w:szCs w:val="24"/>
        </w:rPr>
        <w:tab/>
      </w:r>
      <w:proofErr w:type="spellStart"/>
      <w:r w:rsidRPr="00266D72">
        <w:rPr>
          <w:rFonts w:ascii="Bookman Old Style" w:hAnsi="Bookman Old Style"/>
          <w:sz w:val="24"/>
          <w:szCs w:val="24"/>
        </w:rPr>
        <w:t>APs</w:t>
      </w:r>
      <w:proofErr w:type="spellEnd"/>
      <w:r w:rsidRPr="00266D72">
        <w:rPr>
          <w:rFonts w:ascii="Bookman Old Style" w:hAnsi="Bookman Old Style"/>
          <w:sz w:val="24"/>
          <w:szCs w:val="24"/>
        </w:rPr>
        <w:t>: 28</w:t>
      </w:r>
    </w:p>
    <w:p w14:paraId="5650B1CE" w14:textId="52450B68" w:rsidR="00266D72" w:rsidRPr="00266D72" w:rsidRDefault="00266D72" w:rsidP="00266D72">
      <w:pPr>
        <w:spacing w:after="61"/>
        <w:ind w:left="284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>3.3.</w:t>
      </w:r>
      <w:r w:rsidRPr="00266D72">
        <w:rPr>
          <w:rFonts w:ascii="Bookman Old Style" w:hAnsi="Bookman Old Style"/>
          <w:sz w:val="24"/>
          <w:szCs w:val="24"/>
        </w:rPr>
        <w:tab/>
        <w:t>Usuários: 230</w:t>
      </w:r>
    </w:p>
    <w:p w14:paraId="70C21B8D" w14:textId="77777777" w:rsidR="00266D72" w:rsidRPr="00266D72" w:rsidRDefault="00266D72" w:rsidP="00266D72">
      <w:pPr>
        <w:spacing w:after="0"/>
        <w:ind w:left="10" w:right="69" w:hanging="10"/>
        <w:rPr>
          <w:rFonts w:ascii="Bookman Old Style" w:hAnsi="Bookman Old Style"/>
          <w:sz w:val="24"/>
          <w:szCs w:val="24"/>
        </w:rPr>
      </w:pPr>
    </w:p>
    <w:p w14:paraId="61A7E9C1" w14:textId="77777777" w:rsidR="00266D72" w:rsidRPr="00266D72" w:rsidRDefault="00266D72" w:rsidP="00266D72">
      <w:pPr>
        <w:spacing w:after="0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01BF82EF" w14:textId="77777777" w:rsidR="00266D72" w:rsidRPr="00266D72" w:rsidRDefault="00266D72" w:rsidP="00266D72">
      <w:pPr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br w:type="page"/>
      </w:r>
    </w:p>
    <w:p w14:paraId="2B0EBAEE" w14:textId="77777777" w:rsidR="00266D72" w:rsidRPr="00266D72" w:rsidRDefault="00266D72" w:rsidP="00266D72">
      <w:pPr>
        <w:spacing w:after="0"/>
        <w:rPr>
          <w:rFonts w:ascii="Bookman Old Style" w:hAnsi="Bookman Old Style"/>
          <w:sz w:val="24"/>
          <w:szCs w:val="24"/>
        </w:rPr>
      </w:pPr>
    </w:p>
    <w:tbl>
      <w:tblPr>
        <w:tblStyle w:val="TableGrid"/>
        <w:tblW w:w="8930" w:type="dxa"/>
        <w:tblInd w:w="137" w:type="dxa"/>
        <w:tblCellMar>
          <w:top w:w="75" w:type="dxa"/>
          <w:left w:w="0" w:type="dxa"/>
          <w:bottom w:w="0" w:type="dxa"/>
          <w:right w:w="491" w:type="dxa"/>
        </w:tblCellMar>
        <w:tblLook w:val="04A0" w:firstRow="1" w:lastRow="0" w:firstColumn="1" w:lastColumn="0" w:noHBand="0" w:noVBand="1"/>
      </w:tblPr>
      <w:tblGrid>
        <w:gridCol w:w="2988"/>
        <w:gridCol w:w="497"/>
        <w:gridCol w:w="5445"/>
      </w:tblGrid>
      <w:tr w:rsidR="00266D72" w:rsidRPr="00266D72" w14:paraId="723CA742" w14:textId="77777777" w:rsidTr="00266D72">
        <w:trPr>
          <w:trHeight w:val="458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260777" w14:textId="77777777" w:rsidR="00266D72" w:rsidRPr="00266D72" w:rsidRDefault="00266D72" w:rsidP="0009142D">
            <w:pPr>
              <w:spacing w:line="259" w:lineRule="auto"/>
              <w:ind w:right="79"/>
              <w:jc w:val="right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hAnsi="Bookman Old Style"/>
                <w:b/>
                <w:sz w:val="24"/>
                <w:szCs w:val="24"/>
              </w:rPr>
              <w:t>4</w:t>
            </w: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>.</w:t>
            </w:r>
            <w:r w:rsidRPr="00266D72">
              <w:rPr>
                <w:rFonts w:ascii="Bookman Old Style" w:eastAsia="Arial" w:hAnsi="Bookman Old Style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0F94A42" w14:textId="77777777" w:rsidR="00266D72" w:rsidRPr="00266D72" w:rsidRDefault="00266D72" w:rsidP="0009142D">
            <w:pPr>
              <w:spacing w:after="160" w:line="259" w:lineRule="auto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54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A27A5B" w14:textId="77777777" w:rsidR="00266D72" w:rsidRPr="00266D72" w:rsidRDefault="00266D72" w:rsidP="0009142D">
            <w:pPr>
              <w:spacing w:line="259" w:lineRule="auto"/>
              <w:rPr>
                <w:rFonts w:ascii="Bookman Old Style" w:hAnsi="Bookman Old Style"/>
                <w:sz w:val="24"/>
                <w:szCs w:val="24"/>
              </w:rPr>
            </w:pP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>TOPOLOGIA D</w:t>
            </w:r>
            <w:r w:rsidRPr="00266D72">
              <w:rPr>
                <w:rFonts w:ascii="Bookman Old Style" w:hAnsi="Bookman Old Style"/>
                <w:b/>
                <w:sz w:val="24"/>
                <w:szCs w:val="24"/>
              </w:rPr>
              <w:t>A</w:t>
            </w:r>
            <w:r w:rsidRPr="00266D72">
              <w:rPr>
                <w:rFonts w:ascii="Bookman Old Style" w:eastAsia="Bookman Old Style" w:hAnsi="Bookman Old Style" w:cs="Bookman Old Style"/>
                <w:b/>
                <w:sz w:val="24"/>
                <w:szCs w:val="24"/>
              </w:rPr>
              <w:t xml:space="preserve"> REDE </w:t>
            </w:r>
          </w:p>
        </w:tc>
      </w:tr>
    </w:tbl>
    <w:p w14:paraId="1BE983A4" w14:textId="77777777" w:rsidR="00266D72" w:rsidRPr="00266D72" w:rsidRDefault="00266D72" w:rsidP="00266D72">
      <w:pPr>
        <w:spacing w:after="0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sz w:val="24"/>
          <w:szCs w:val="24"/>
        </w:rPr>
        <w:t xml:space="preserve"> </w:t>
      </w:r>
    </w:p>
    <w:p w14:paraId="686BFD5F" w14:textId="3DD3816D" w:rsidR="00266D72" w:rsidRDefault="00266D72" w:rsidP="00266D72">
      <w:pPr>
        <w:spacing w:after="0" w:line="252" w:lineRule="auto"/>
        <w:ind w:right="138" w:hanging="1"/>
        <w:rPr>
          <w:rFonts w:ascii="Bookman Old Style" w:hAnsi="Bookman Old Style"/>
          <w:sz w:val="24"/>
          <w:szCs w:val="24"/>
        </w:rPr>
      </w:pPr>
      <w:r w:rsidRPr="00266D72">
        <w:rPr>
          <w:rFonts w:ascii="Bookman Old Style" w:hAnsi="Bookman Old Style"/>
          <w:noProof/>
          <w:sz w:val="24"/>
          <w:szCs w:val="24"/>
        </w:rPr>
        <w:drawing>
          <wp:inline distT="0" distB="0" distL="0" distR="0" wp14:anchorId="11E41AB4" wp14:editId="169A3F9A">
            <wp:extent cx="5676265" cy="4952873"/>
            <wp:effectExtent l="19050" t="19050" r="19685" b="19685"/>
            <wp:docPr id="13114" name="Picture 13114" descr="Diagrama, Esquemático&#10;&#10;Descrição gerad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4" name="Picture 13114" descr="Diagrama, Esquemático&#10;&#10;Descrição gerada automa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76265" cy="4952873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266D72">
        <w:rPr>
          <w:rFonts w:ascii="Bookman Old Style" w:hAnsi="Bookman Old Style"/>
          <w:sz w:val="24"/>
          <w:szCs w:val="24"/>
        </w:rPr>
        <w:t xml:space="preserve">  </w:t>
      </w:r>
    </w:p>
    <w:p w14:paraId="76191AF8" w14:textId="77777777" w:rsidR="00266D72" w:rsidRPr="00266D72" w:rsidRDefault="00266D72" w:rsidP="00266D72">
      <w:pPr>
        <w:spacing w:after="0" w:line="252" w:lineRule="auto"/>
        <w:ind w:right="138" w:hanging="1"/>
        <w:rPr>
          <w:rFonts w:ascii="Bookman Old Style" w:hAnsi="Bookman Old Style"/>
          <w:sz w:val="24"/>
          <w:szCs w:val="24"/>
        </w:rPr>
      </w:pPr>
    </w:p>
    <w:p w14:paraId="2AB4F5F1" w14:textId="77777777" w:rsidR="00266D72" w:rsidRPr="00266D72" w:rsidRDefault="00266D72" w:rsidP="004A597D">
      <w:pPr>
        <w:spacing w:after="0" w:line="360" w:lineRule="auto"/>
        <w:jc w:val="both"/>
        <w:rPr>
          <w:rFonts w:ascii="Bookman Old Style" w:eastAsia="Arial" w:hAnsi="Bookman Old Style" w:cstheme="minorHAnsi"/>
          <w:color w:val="000000" w:themeColor="text1"/>
          <w:sz w:val="24"/>
          <w:szCs w:val="24"/>
        </w:rPr>
      </w:pPr>
    </w:p>
    <w:sectPr w:rsidR="00266D72" w:rsidRPr="00266D72" w:rsidSect="000C1F33">
      <w:headerReference w:type="default" r:id="rId20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417F9" w14:textId="77777777" w:rsidR="00476D1A" w:rsidRDefault="00476D1A" w:rsidP="00015DB6">
      <w:pPr>
        <w:spacing w:after="0" w:line="240" w:lineRule="auto"/>
      </w:pPr>
      <w:r>
        <w:separator/>
      </w:r>
    </w:p>
  </w:endnote>
  <w:endnote w:type="continuationSeparator" w:id="0">
    <w:p w14:paraId="7379C572" w14:textId="77777777" w:rsidR="00476D1A" w:rsidRDefault="00476D1A" w:rsidP="0001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513B6" w14:textId="77777777" w:rsidR="00476D1A" w:rsidRDefault="00476D1A" w:rsidP="00015DB6">
      <w:pPr>
        <w:spacing w:after="0" w:line="240" w:lineRule="auto"/>
      </w:pPr>
      <w:r>
        <w:separator/>
      </w:r>
    </w:p>
  </w:footnote>
  <w:footnote w:type="continuationSeparator" w:id="0">
    <w:p w14:paraId="7B125429" w14:textId="77777777" w:rsidR="00476D1A" w:rsidRDefault="00476D1A" w:rsidP="00015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72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76"/>
      <w:gridCol w:w="4480"/>
      <w:gridCol w:w="2116"/>
    </w:tblGrid>
    <w:tr w:rsidR="00015DB6" w:rsidRPr="00EB4C35" w14:paraId="3823F408" w14:textId="77777777" w:rsidTr="000C1F33">
      <w:trPr>
        <w:cantSplit/>
        <w:trHeight w:val="1020"/>
      </w:trPr>
      <w:tc>
        <w:tcPr>
          <w:tcW w:w="2476" w:type="dxa"/>
          <w:vAlign w:val="center"/>
        </w:tcPr>
        <w:p w14:paraId="41DCF8BA" w14:textId="77777777" w:rsidR="00015DB6" w:rsidRPr="00EB4C35" w:rsidRDefault="00015DB6" w:rsidP="00015DB6">
          <w:pPr>
            <w:tabs>
              <w:tab w:val="center" w:pos="4419"/>
              <w:tab w:val="right" w:pos="8838"/>
            </w:tabs>
            <w:spacing w:after="57" w:line="240" w:lineRule="auto"/>
            <w:jc w:val="both"/>
            <w:rPr>
              <w:rFonts w:ascii="Bookman Old Style" w:hAnsi="Bookman Old Style" w:cs="Arial"/>
              <w:sz w:val="24"/>
              <w:szCs w:val="24"/>
            </w:rPr>
          </w:pPr>
          <w:r w:rsidRPr="00EB4C35">
            <w:rPr>
              <w:rFonts w:ascii="Bookman Old Style" w:hAnsi="Bookman Old Style" w:cs="Arial"/>
              <w:b/>
              <w:noProof/>
              <w:sz w:val="24"/>
              <w:szCs w:val="24"/>
            </w:rPr>
            <w:drawing>
              <wp:inline distT="0" distB="0" distL="0" distR="0" wp14:anchorId="31855262" wp14:editId="62B63C5C">
                <wp:extent cx="1435735" cy="523240"/>
                <wp:effectExtent l="0" t="0" r="0" b="0"/>
                <wp:docPr id="1" name="Imagem 1" descr="Normal_0537x16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3" descr="Normal_0537x16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5735" cy="523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480" w:type="dxa"/>
          <w:vAlign w:val="center"/>
        </w:tcPr>
        <w:p w14:paraId="553ECA11" w14:textId="775C3987" w:rsidR="00015DB6" w:rsidRPr="00EB4C35" w:rsidRDefault="00015DB6" w:rsidP="00015DB6">
          <w:pPr>
            <w:tabs>
              <w:tab w:val="center" w:pos="4419"/>
              <w:tab w:val="right" w:pos="8838"/>
            </w:tabs>
            <w:spacing w:after="57" w:line="240" w:lineRule="auto"/>
            <w:jc w:val="center"/>
            <w:rPr>
              <w:rFonts w:ascii="Bookman Old Style" w:hAnsi="Bookman Old Style" w:cs="Arial"/>
              <w:b/>
              <w:sz w:val="24"/>
              <w:szCs w:val="24"/>
            </w:rPr>
          </w:pPr>
          <w:r w:rsidRPr="00EB4C35">
            <w:rPr>
              <w:rFonts w:ascii="Bookman Old Style" w:hAnsi="Bookman Old Style" w:cs="Arial"/>
              <w:b/>
              <w:sz w:val="24"/>
              <w:szCs w:val="24"/>
            </w:rPr>
            <w:t>CONSULTA PÚBLICA</w:t>
          </w:r>
        </w:p>
      </w:tc>
      <w:tc>
        <w:tcPr>
          <w:tcW w:w="2116" w:type="dxa"/>
          <w:vAlign w:val="center"/>
        </w:tcPr>
        <w:p w14:paraId="64DAC77D" w14:textId="77777777" w:rsidR="00015DB6" w:rsidRPr="00EB4C35" w:rsidRDefault="00015DB6" w:rsidP="00015DB6">
          <w:pPr>
            <w:tabs>
              <w:tab w:val="center" w:pos="4419"/>
              <w:tab w:val="right" w:pos="8838"/>
            </w:tabs>
            <w:spacing w:after="57" w:line="240" w:lineRule="auto"/>
            <w:jc w:val="center"/>
            <w:rPr>
              <w:rFonts w:ascii="Bookman Old Style" w:hAnsi="Bookman Old Style" w:cs="Arial"/>
              <w:b/>
              <w:sz w:val="24"/>
              <w:szCs w:val="24"/>
            </w:rPr>
          </w:pPr>
          <w:r w:rsidRPr="00EB4C35">
            <w:rPr>
              <w:rFonts w:ascii="Bookman Old Style" w:hAnsi="Bookman Old Style" w:cs="Arial"/>
              <w:b/>
              <w:sz w:val="24"/>
              <w:szCs w:val="24"/>
            </w:rPr>
            <w:t>Folha Nº</w:t>
          </w:r>
          <w:r w:rsidRPr="00EB4C35">
            <w:rPr>
              <w:rStyle w:val="Nmerodepgina"/>
              <w:rFonts w:ascii="Bookman Old Style" w:hAnsi="Bookman Old Style" w:cs="Arial"/>
              <w:b/>
              <w:sz w:val="24"/>
              <w:szCs w:val="24"/>
            </w:rPr>
            <w:t xml:space="preserve"> </w: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begin"/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instrText xml:space="preserve">PAGE  </w:instrTex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separate"/>
          </w:r>
          <w:r w:rsidRPr="00EB4C35">
            <w:rPr>
              <w:rStyle w:val="Nmerodepgina"/>
              <w:rFonts w:ascii="Bookman Old Style" w:hAnsi="Bookman Old Style"/>
              <w:noProof/>
              <w:sz w:val="24"/>
              <w:szCs w:val="24"/>
            </w:rPr>
            <w:t>2</w: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end"/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t>/</w: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begin"/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instrText xml:space="preserve"> NUMPAGES </w:instrTex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separate"/>
          </w:r>
          <w:r w:rsidRPr="00EB4C35">
            <w:rPr>
              <w:rStyle w:val="Nmerodepgina"/>
              <w:rFonts w:ascii="Bookman Old Style" w:hAnsi="Bookman Old Style"/>
              <w:noProof/>
              <w:sz w:val="24"/>
              <w:szCs w:val="24"/>
            </w:rPr>
            <w:t>13</w:t>
          </w:r>
          <w:r w:rsidRPr="00EB4C35">
            <w:rPr>
              <w:rStyle w:val="Nmerodepgina"/>
              <w:rFonts w:ascii="Bookman Old Style" w:hAnsi="Bookman Old Style"/>
              <w:sz w:val="24"/>
              <w:szCs w:val="24"/>
            </w:rPr>
            <w:fldChar w:fldCharType="end"/>
          </w:r>
        </w:p>
      </w:tc>
    </w:tr>
    <w:tr w:rsidR="00015DB6" w:rsidRPr="00EB4C35" w14:paraId="2EEC1243" w14:textId="77777777" w:rsidTr="000C1F33">
      <w:trPr>
        <w:cantSplit/>
        <w:trHeight w:val="522"/>
      </w:trPr>
      <w:tc>
        <w:tcPr>
          <w:tcW w:w="9072" w:type="dxa"/>
          <w:gridSpan w:val="3"/>
          <w:vAlign w:val="center"/>
        </w:tcPr>
        <w:p w14:paraId="5655A6C7" w14:textId="69B723C2" w:rsidR="00015DB6" w:rsidRPr="00EB4C35" w:rsidRDefault="008B4AE6" w:rsidP="00D56DB7">
          <w:pPr>
            <w:tabs>
              <w:tab w:val="center" w:pos="4419"/>
              <w:tab w:val="right" w:pos="8838"/>
            </w:tabs>
            <w:spacing w:after="57" w:line="240" w:lineRule="auto"/>
            <w:jc w:val="center"/>
            <w:rPr>
              <w:rFonts w:ascii="Bookman Old Style" w:hAnsi="Bookman Old Style" w:cs="Arial"/>
              <w:b/>
              <w:bCs/>
              <w:sz w:val="24"/>
              <w:szCs w:val="24"/>
            </w:rPr>
          </w:pPr>
          <w:r w:rsidRPr="00EB4C35">
            <w:rPr>
              <w:rFonts w:ascii="Bookman Old Style" w:hAnsi="Bookman Old Style" w:cs="Arial"/>
              <w:sz w:val="24"/>
              <w:szCs w:val="24"/>
            </w:rPr>
            <w:t xml:space="preserve">Aquisição de </w:t>
          </w:r>
          <w:r w:rsidR="004A597D" w:rsidRPr="00EB4C35">
            <w:rPr>
              <w:rFonts w:ascii="Bookman Old Style" w:hAnsi="Bookman Old Style" w:cs="Arial"/>
              <w:sz w:val="24"/>
              <w:szCs w:val="24"/>
            </w:rPr>
            <w:t>Ferramenta CMDB</w:t>
          </w:r>
        </w:p>
      </w:tc>
    </w:tr>
  </w:tbl>
  <w:p w14:paraId="66A9EE44" w14:textId="77777777" w:rsidR="00015DB6" w:rsidRDefault="00015DB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A6040"/>
    <w:multiLevelType w:val="multilevel"/>
    <w:tmpl w:val="4636E122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919197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6A452F1"/>
    <w:multiLevelType w:val="hybridMultilevel"/>
    <w:tmpl w:val="5EB25DF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DB2BE8"/>
    <w:multiLevelType w:val="multilevel"/>
    <w:tmpl w:val="61569A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4" w15:restartNumberingAfterBreak="0">
    <w:nsid w:val="64071ABB"/>
    <w:multiLevelType w:val="multilevel"/>
    <w:tmpl w:val="42041BE2"/>
    <w:lvl w:ilvl="0">
      <w:start w:val="1"/>
      <w:numFmt w:val="decimal"/>
      <w:lvlText w:val="(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(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(%1.%2.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(%1.%2.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(%1.%2.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(%1.%2.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(%1.%2.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(%1.%2.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(%1.%2.)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5913407"/>
    <w:multiLevelType w:val="multilevel"/>
    <w:tmpl w:val="2168F8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1D00D07"/>
    <w:multiLevelType w:val="hybridMultilevel"/>
    <w:tmpl w:val="1050521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FA7A1F"/>
    <w:multiLevelType w:val="hybridMultilevel"/>
    <w:tmpl w:val="822A2028"/>
    <w:lvl w:ilvl="0" w:tplc="0E74E95A">
      <w:start w:val="1"/>
      <w:numFmt w:val="bullet"/>
      <w:lvlText w:val="•"/>
      <w:lvlJc w:val="left"/>
      <w:pPr>
        <w:ind w:left="11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A22654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9ACB9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3623E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584C8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0E57D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2E095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502960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C003D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04220120">
    <w:abstractNumId w:val="3"/>
  </w:num>
  <w:num w:numId="2" w16cid:durableId="956332568">
    <w:abstractNumId w:val="5"/>
  </w:num>
  <w:num w:numId="3" w16cid:durableId="1900290213">
    <w:abstractNumId w:val="0"/>
  </w:num>
  <w:num w:numId="4" w16cid:durableId="1897548582">
    <w:abstractNumId w:val="4"/>
  </w:num>
  <w:num w:numId="5" w16cid:durableId="1145851313">
    <w:abstractNumId w:val="2"/>
  </w:num>
  <w:num w:numId="6" w16cid:durableId="669874721">
    <w:abstractNumId w:val="6"/>
  </w:num>
  <w:num w:numId="7" w16cid:durableId="1700620430">
    <w:abstractNumId w:val="1"/>
  </w:num>
  <w:num w:numId="8" w16cid:durableId="500239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B982AA3"/>
    <w:rsid w:val="00013ACF"/>
    <w:rsid w:val="00014033"/>
    <w:rsid w:val="00015DB6"/>
    <w:rsid w:val="00030AFF"/>
    <w:rsid w:val="00036799"/>
    <w:rsid w:val="00037642"/>
    <w:rsid w:val="00037A80"/>
    <w:rsid w:val="00043B83"/>
    <w:rsid w:val="00043E3D"/>
    <w:rsid w:val="00060917"/>
    <w:rsid w:val="000641C0"/>
    <w:rsid w:val="00064DB0"/>
    <w:rsid w:val="000855DE"/>
    <w:rsid w:val="00092B74"/>
    <w:rsid w:val="00092BCA"/>
    <w:rsid w:val="00097BE3"/>
    <w:rsid w:val="000B69CF"/>
    <w:rsid w:val="000C1F33"/>
    <w:rsid w:val="000D69FD"/>
    <w:rsid w:val="000D7DDA"/>
    <w:rsid w:val="000E08C8"/>
    <w:rsid w:val="000E305D"/>
    <w:rsid w:val="000E6150"/>
    <w:rsid w:val="000F3B31"/>
    <w:rsid w:val="000F7FFE"/>
    <w:rsid w:val="0010044F"/>
    <w:rsid w:val="0010085C"/>
    <w:rsid w:val="00115FFE"/>
    <w:rsid w:val="001305BA"/>
    <w:rsid w:val="00131117"/>
    <w:rsid w:val="00151EE9"/>
    <w:rsid w:val="00174551"/>
    <w:rsid w:val="001772D5"/>
    <w:rsid w:val="00181A47"/>
    <w:rsid w:val="00184D1F"/>
    <w:rsid w:val="001962D8"/>
    <w:rsid w:val="001B163F"/>
    <w:rsid w:val="001B318C"/>
    <w:rsid w:val="001C0736"/>
    <w:rsid w:val="001D7DD1"/>
    <w:rsid w:val="001E7E6A"/>
    <w:rsid w:val="001F56B2"/>
    <w:rsid w:val="0020090B"/>
    <w:rsid w:val="00201A1E"/>
    <w:rsid w:val="00202743"/>
    <w:rsid w:val="00207135"/>
    <w:rsid w:val="00224B03"/>
    <w:rsid w:val="00227E0E"/>
    <w:rsid w:val="00266D72"/>
    <w:rsid w:val="00272E08"/>
    <w:rsid w:val="00281633"/>
    <w:rsid w:val="00284D41"/>
    <w:rsid w:val="00290A25"/>
    <w:rsid w:val="002925A0"/>
    <w:rsid w:val="002B4419"/>
    <w:rsid w:val="002B4475"/>
    <w:rsid w:val="002C7012"/>
    <w:rsid w:val="00310251"/>
    <w:rsid w:val="003138CF"/>
    <w:rsid w:val="00350397"/>
    <w:rsid w:val="00353C76"/>
    <w:rsid w:val="00365BD5"/>
    <w:rsid w:val="003679CB"/>
    <w:rsid w:val="00373440"/>
    <w:rsid w:val="00383A38"/>
    <w:rsid w:val="00385181"/>
    <w:rsid w:val="00385199"/>
    <w:rsid w:val="00394CF4"/>
    <w:rsid w:val="00397157"/>
    <w:rsid w:val="003A6901"/>
    <w:rsid w:val="003C2F66"/>
    <w:rsid w:val="003C599B"/>
    <w:rsid w:val="003D3A49"/>
    <w:rsid w:val="00400F33"/>
    <w:rsid w:val="0040577F"/>
    <w:rsid w:val="00413748"/>
    <w:rsid w:val="00425643"/>
    <w:rsid w:val="00435D0E"/>
    <w:rsid w:val="00437E3F"/>
    <w:rsid w:val="00444A4B"/>
    <w:rsid w:val="00457AFB"/>
    <w:rsid w:val="00470AA4"/>
    <w:rsid w:val="004749FD"/>
    <w:rsid w:val="00476D1A"/>
    <w:rsid w:val="00483576"/>
    <w:rsid w:val="00493245"/>
    <w:rsid w:val="004A46C9"/>
    <w:rsid w:val="004A597D"/>
    <w:rsid w:val="004A7B63"/>
    <w:rsid w:val="004C12CB"/>
    <w:rsid w:val="004C254D"/>
    <w:rsid w:val="004D3A8F"/>
    <w:rsid w:val="004E649F"/>
    <w:rsid w:val="005063DD"/>
    <w:rsid w:val="005129F2"/>
    <w:rsid w:val="005177A5"/>
    <w:rsid w:val="00530AEB"/>
    <w:rsid w:val="005366BB"/>
    <w:rsid w:val="00546BA8"/>
    <w:rsid w:val="0055160A"/>
    <w:rsid w:val="00555064"/>
    <w:rsid w:val="00572D73"/>
    <w:rsid w:val="005912EA"/>
    <w:rsid w:val="005928D0"/>
    <w:rsid w:val="005B28B2"/>
    <w:rsid w:val="005C6A29"/>
    <w:rsid w:val="005F26B7"/>
    <w:rsid w:val="00601D4C"/>
    <w:rsid w:val="00616E58"/>
    <w:rsid w:val="00630D22"/>
    <w:rsid w:val="00635C23"/>
    <w:rsid w:val="006624C1"/>
    <w:rsid w:val="00686E29"/>
    <w:rsid w:val="00687DC2"/>
    <w:rsid w:val="006A0D1D"/>
    <w:rsid w:val="006A789B"/>
    <w:rsid w:val="006D716A"/>
    <w:rsid w:val="006D73BE"/>
    <w:rsid w:val="006F0719"/>
    <w:rsid w:val="00711725"/>
    <w:rsid w:val="007159B4"/>
    <w:rsid w:val="00721C3D"/>
    <w:rsid w:val="00723351"/>
    <w:rsid w:val="00742B52"/>
    <w:rsid w:val="00743DF7"/>
    <w:rsid w:val="007867CD"/>
    <w:rsid w:val="007A1EE2"/>
    <w:rsid w:val="007A2F99"/>
    <w:rsid w:val="007A7533"/>
    <w:rsid w:val="007B0CED"/>
    <w:rsid w:val="007B6595"/>
    <w:rsid w:val="007C0FCE"/>
    <w:rsid w:val="007C3832"/>
    <w:rsid w:val="007C410F"/>
    <w:rsid w:val="007D0DA1"/>
    <w:rsid w:val="007F05CA"/>
    <w:rsid w:val="007F22B8"/>
    <w:rsid w:val="008012C7"/>
    <w:rsid w:val="008060B4"/>
    <w:rsid w:val="00811833"/>
    <w:rsid w:val="00812A37"/>
    <w:rsid w:val="0082417D"/>
    <w:rsid w:val="0083160A"/>
    <w:rsid w:val="00851EEF"/>
    <w:rsid w:val="00852912"/>
    <w:rsid w:val="00852A6A"/>
    <w:rsid w:val="00873242"/>
    <w:rsid w:val="0088771C"/>
    <w:rsid w:val="008B4AE6"/>
    <w:rsid w:val="008E2587"/>
    <w:rsid w:val="008F4FE0"/>
    <w:rsid w:val="0092089B"/>
    <w:rsid w:val="00925221"/>
    <w:rsid w:val="00942AF4"/>
    <w:rsid w:val="0095320B"/>
    <w:rsid w:val="00961D81"/>
    <w:rsid w:val="00973119"/>
    <w:rsid w:val="009756B7"/>
    <w:rsid w:val="00984C48"/>
    <w:rsid w:val="009959E5"/>
    <w:rsid w:val="009A6664"/>
    <w:rsid w:val="009B4292"/>
    <w:rsid w:val="009C339A"/>
    <w:rsid w:val="009C59DA"/>
    <w:rsid w:val="009D4C4D"/>
    <w:rsid w:val="009E0B51"/>
    <w:rsid w:val="00A61E0A"/>
    <w:rsid w:val="00A72A50"/>
    <w:rsid w:val="00A75A1E"/>
    <w:rsid w:val="00A75AB3"/>
    <w:rsid w:val="00A76894"/>
    <w:rsid w:val="00A81181"/>
    <w:rsid w:val="00A84901"/>
    <w:rsid w:val="00A856A6"/>
    <w:rsid w:val="00A95899"/>
    <w:rsid w:val="00AB75DB"/>
    <w:rsid w:val="00AD21E3"/>
    <w:rsid w:val="00AE0E0D"/>
    <w:rsid w:val="00AE1BF4"/>
    <w:rsid w:val="00AF3F39"/>
    <w:rsid w:val="00AF485B"/>
    <w:rsid w:val="00B01EC8"/>
    <w:rsid w:val="00B14424"/>
    <w:rsid w:val="00B312D5"/>
    <w:rsid w:val="00B36824"/>
    <w:rsid w:val="00B50660"/>
    <w:rsid w:val="00B620F4"/>
    <w:rsid w:val="00B71F8F"/>
    <w:rsid w:val="00B9022E"/>
    <w:rsid w:val="00B930EF"/>
    <w:rsid w:val="00BA0730"/>
    <w:rsid w:val="00BA7B07"/>
    <w:rsid w:val="00BD3EF1"/>
    <w:rsid w:val="00BE4E09"/>
    <w:rsid w:val="00BE53F6"/>
    <w:rsid w:val="00BF158D"/>
    <w:rsid w:val="00C02704"/>
    <w:rsid w:val="00C05AC8"/>
    <w:rsid w:val="00C2201A"/>
    <w:rsid w:val="00C2499D"/>
    <w:rsid w:val="00C27EF7"/>
    <w:rsid w:val="00C44892"/>
    <w:rsid w:val="00C8033B"/>
    <w:rsid w:val="00C80CE9"/>
    <w:rsid w:val="00CC2AE8"/>
    <w:rsid w:val="00CC68DF"/>
    <w:rsid w:val="00CC7767"/>
    <w:rsid w:val="00CD2F8A"/>
    <w:rsid w:val="00CF1954"/>
    <w:rsid w:val="00D21337"/>
    <w:rsid w:val="00D23231"/>
    <w:rsid w:val="00D40199"/>
    <w:rsid w:val="00D56DB7"/>
    <w:rsid w:val="00D94334"/>
    <w:rsid w:val="00DA60D1"/>
    <w:rsid w:val="00DB237B"/>
    <w:rsid w:val="00DD3E7C"/>
    <w:rsid w:val="00E00DC4"/>
    <w:rsid w:val="00E2522F"/>
    <w:rsid w:val="00E47928"/>
    <w:rsid w:val="00E55782"/>
    <w:rsid w:val="00E6070A"/>
    <w:rsid w:val="00E82828"/>
    <w:rsid w:val="00E909FA"/>
    <w:rsid w:val="00EA1B89"/>
    <w:rsid w:val="00EB1339"/>
    <w:rsid w:val="00EB4C35"/>
    <w:rsid w:val="00ED0E0D"/>
    <w:rsid w:val="00EE7D7C"/>
    <w:rsid w:val="00EF12C7"/>
    <w:rsid w:val="00F05FDD"/>
    <w:rsid w:val="00F228F5"/>
    <w:rsid w:val="00F31AEF"/>
    <w:rsid w:val="00F5114F"/>
    <w:rsid w:val="00F72769"/>
    <w:rsid w:val="00F8043D"/>
    <w:rsid w:val="00FB0A21"/>
    <w:rsid w:val="00FC5274"/>
    <w:rsid w:val="00FC776E"/>
    <w:rsid w:val="00FE354E"/>
    <w:rsid w:val="07FE2B63"/>
    <w:rsid w:val="08976A7D"/>
    <w:rsid w:val="129D726B"/>
    <w:rsid w:val="1582A9D9"/>
    <w:rsid w:val="1FCA5E3C"/>
    <w:rsid w:val="2AACF9C3"/>
    <w:rsid w:val="2D4D846C"/>
    <w:rsid w:val="3996D9B6"/>
    <w:rsid w:val="3A431EEE"/>
    <w:rsid w:val="3B982AA3"/>
    <w:rsid w:val="43480CC9"/>
    <w:rsid w:val="47E5DD12"/>
    <w:rsid w:val="4DEB75F6"/>
    <w:rsid w:val="50F6D99A"/>
    <w:rsid w:val="54422EBE"/>
    <w:rsid w:val="60F3D507"/>
    <w:rsid w:val="685FEBF0"/>
    <w:rsid w:val="6D77062A"/>
    <w:rsid w:val="74498719"/>
    <w:rsid w:val="756F2E7A"/>
    <w:rsid w:val="778127DB"/>
    <w:rsid w:val="7EB8DB47"/>
    <w:rsid w:val="7FC46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82AA3"/>
  <w15:chartTrackingRefBased/>
  <w15:docId w15:val="{B595967E-9729-4539-8960-FE88979FA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next w:val="Normal"/>
    <w:link w:val="Ttulo1Char"/>
    <w:uiPriority w:val="9"/>
    <w:qFormat/>
    <w:rsid w:val="00266D72"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145"/>
      <w:ind w:left="10" w:right="82" w:hanging="10"/>
      <w:jc w:val="center"/>
      <w:outlineLvl w:val="0"/>
    </w:pPr>
    <w:rPr>
      <w:rFonts w:ascii="Bookman Old Style" w:eastAsia="Bookman Old Style" w:hAnsi="Bookman Old Style" w:cs="Bookman Old Style"/>
      <w:b/>
      <w:color w:val="000000"/>
      <w:sz w:val="28"/>
      <w:lang w:eastAsia="pt-BR"/>
    </w:rPr>
  </w:style>
  <w:style w:type="paragraph" w:styleId="Ttulo2">
    <w:name w:val="heading 2"/>
    <w:next w:val="Normal"/>
    <w:link w:val="Ttulo2Char"/>
    <w:uiPriority w:val="9"/>
    <w:unhideWhenUsed/>
    <w:qFormat/>
    <w:rsid w:val="00266D72"/>
    <w:pPr>
      <w:keepNext/>
      <w:keepLines/>
      <w:spacing w:after="0"/>
      <w:ind w:left="10" w:hanging="10"/>
      <w:jc w:val="center"/>
      <w:outlineLvl w:val="1"/>
    </w:pPr>
    <w:rPr>
      <w:rFonts w:ascii="Bookman Old Style" w:eastAsia="Bookman Old Style" w:hAnsi="Bookman Old Style" w:cs="Bookman Old Style"/>
      <w:b/>
      <w:color w:val="000000"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015D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15DB6"/>
  </w:style>
  <w:style w:type="paragraph" w:styleId="Rodap">
    <w:name w:val="footer"/>
    <w:basedOn w:val="Normal"/>
    <w:link w:val="RodapChar"/>
    <w:uiPriority w:val="99"/>
    <w:unhideWhenUsed/>
    <w:rsid w:val="00015D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15DB6"/>
  </w:style>
  <w:style w:type="character" w:styleId="Nmerodepgina">
    <w:name w:val="page number"/>
    <w:basedOn w:val="Fontepargpadro"/>
    <w:rsid w:val="00015DB6"/>
  </w:style>
  <w:style w:type="character" w:styleId="Hyperlink">
    <w:name w:val="Hyperlink"/>
    <w:basedOn w:val="Fontepargpadro"/>
    <w:uiPriority w:val="99"/>
    <w:unhideWhenUsed/>
    <w:rsid w:val="0097311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unhideWhenUsed/>
    <w:rsid w:val="00973119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9731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comentrio">
    <w:name w:val="annotation text"/>
    <w:basedOn w:val="Normal"/>
    <w:link w:val="Textodecomentrio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Reviso">
    <w:name w:val="Revision"/>
    <w:hidden/>
    <w:uiPriority w:val="99"/>
    <w:semiHidden/>
    <w:rsid w:val="00151EE9"/>
    <w:pPr>
      <w:spacing w:after="0" w:line="240" w:lineRule="auto"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D716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D716A"/>
    <w:rPr>
      <w:b/>
      <w:bCs/>
      <w:sz w:val="20"/>
      <w:szCs w:val="20"/>
    </w:rPr>
  </w:style>
  <w:style w:type="character" w:styleId="Meno">
    <w:name w:val="Mention"/>
    <w:basedOn w:val="Fontepargpadro"/>
    <w:uiPriority w:val="99"/>
    <w:unhideWhenUsed/>
    <w:rsid w:val="006D716A"/>
    <w:rPr>
      <w:color w:val="2B579A"/>
      <w:shd w:val="clear" w:color="auto" w:fill="E1DFDD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4A597D"/>
    <w:pPr>
      <w:spacing w:after="120" w:line="480" w:lineRule="auto"/>
      <w:ind w:left="283" w:right="70" w:hanging="10"/>
      <w:jc w:val="both"/>
    </w:pPr>
    <w:rPr>
      <w:rFonts w:ascii="Calibri" w:eastAsia="Calibri" w:hAnsi="Calibri" w:cs="Calibri"/>
      <w:color w:val="000000"/>
      <w:sz w:val="24"/>
      <w:lang w:eastAsia="pt-BR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4A597D"/>
    <w:rPr>
      <w:rFonts w:ascii="Calibri" w:eastAsia="Calibri" w:hAnsi="Calibri" w:cs="Calibri"/>
      <w:color w:val="000000"/>
      <w:sz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266D72"/>
    <w:rPr>
      <w:rFonts w:ascii="Bookman Old Style" w:eastAsia="Bookman Old Style" w:hAnsi="Bookman Old Style" w:cs="Bookman Old Style"/>
      <w:b/>
      <w:color w:val="000000"/>
      <w:sz w:val="2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266D72"/>
    <w:rPr>
      <w:rFonts w:ascii="Bookman Old Style" w:eastAsia="Bookman Old Style" w:hAnsi="Bookman Old Style" w:cs="Bookman Old Style"/>
      <w:b/>
      <w:color w:val="000000"/>
      <w:sz w:val="24"/>
      <w:lang w:eastAsia="pt-BR"/>
    </w:rPr>
  </w:style>
  <w:style w:type="table" w:customStyle="1" w:styleId="TableGrid">
    <w:name w:val="TableGrid"/>
    <w:rsid w:val="00266D72"/>
    <w:pPr>
      <w:spacing w:after="0" w:line="240" w:lineRule="auto"/>
    </w:pPr>
    <w:rPr>
      <w:rFonts w:eastAsiaTheme="minorEastAsia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262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badesul.com.br/organograma" TargetMode="External"/><Relationship Id="rId18" Type="http://schemas.openxmlformats.org/officeDocument/2006/relationships/hyperlink" Target="mailto:badesul.informatica@badesul.com.br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.badesul.com.br/" TargetMode="External"/><Relationship Id="rId17" Type="http://schemas.openxmlformats.org/officeDocument/2006/relationships/hyperlink" Target="https://www.badesul.com.br/transparencia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badesul.com.br/transparencia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badesul.informatica@badesul.com.br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badesul.com.br/transparencia" TargetMode="External"/><Relationship Id="rId10" Type="http://schemas.openxmlformats.org/officeDocument/2006/relationships/hyperlink" Target="mailto:badesul.informatica@badesul.com.br" TargetMode="External"/><Relationship Id="rId19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badesul.com.br/transparencia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8A549F76529B243899684707BB20846" ma:contentTypeVersion="2" ma:contentTypeDescription="Crie um novo documento." ma:contentTypeScope="" ma:versionID="9e478d3646197fade4273c21bdb400ad">
  <xsd:schema xmlns:xsd="http://www.w3.org/2001/XMLSchema" xmlns:xs="http://www.w3.org/2001/XMLSchema" xmlns:p="http://schemas.microsoft.com/office/2006/metadata/properties" xmlns:ns2="957fd99e-7850-453a-97d4-e735b80c55dd" targetNamespace="http://schemas.microsoft.com/office/2006/metadata/properties" ma:root="true" ma:fieldsID="5b33171cfb6ca9c125923e033a811767" ns2:_="">
    <xsd:import namespace="957fd99e-7850-453a-97d4-e735b80c55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7fd99e-7850-453a-97d4-e735b80c55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E7D610-2C2A-45AE-A294-F4EA6FFC6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85562B-20AA-4A49-8056-81F7E2E1E6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57fd99e-7850-453a-97d4-e735b80c55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372B8F-767C-4A64-B721-7D4BF116BE90}">
  <ds:schemaRefs>
    <ds:schemaRef ds:uri="http://www.w3.org/XML/1998/namespace"/>
    <ds:schemaRef ds:uri="http://purl.org/dc/elements/1.1/"/>
    <ds:schemaRef ds:uri="http://schemas.microsoft.com/office/2006/metadata/properties"/>
    <ds:schemaRef ds:uri="http://purl.org/dc/dcmitype/"/>
    <ds:schemaRef ds:uri="957fd99e-7850-453a-97d4-e735b80c55dd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17</Pages>
  <Words>3706</Words>
  <Characters>20017</Characters>
  <Application>Microsoft Office Word</Application>
  <DocSecurity>0</DocSecurity>
  <Lines>166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Raupp</dc:creator>
  <cp:keywords/>
  <dc:description/>
  <cp:lastModifiedBy>Carlos Franck</cp:lastModifiedBy>
  <cp:revision>3</cp:revision>
  <dcterms:created xsi:type="dcterms:W3CDTF">2022-10-25T18:20:00Z</dcterms:created>
  <dcterms:modified xsi:type="dcterms:W3CDTF">2022-10-27T18:32:00Z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0x01010098A549F76529B243899684707BB20846</vt:lpwstr>
  </property>
</Properties>
</file>